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仿宋_GB2312" w:hAnsi="黑体" w:eastAsia="仿宋_GB2312" w:cs="Times New Roman"/>
          <w:b/>
          <w:bCs/>
          <w:kern w:val="0"/>
          <w:sz w:val="32"/>
          <w:szCs w:val="32"/>
        </w:rPr>
      </w:pPr>
      <w:r>
        <w:rPr>
          <w:rFonts w:hint="eastAsia" w:ascii="仿宋_GB2312" w:hAnsi="黑体" w:eastAsia="仿宋_GB2312" w:cs="Times New Roman"/>
          <w:b/>
          <w:bCs/>
          <w:kern w:val="0"/>
          <w:sz w:val="32"/>
          <w:szCs w:val="32"/>
        </w:rPr>
        <w:t>成都轨道城市投资集团有限公司及成都城投置地（集团）</w:t>
      </w:r>
    </w:p>
    <w:p>
      <w:pPr>
        <w:spacing w:before="156" w:beforeLines="50" w:after="156" w:afterLines="50" w:line="360" w:lineRule="auto"/>
        <w:jc w:val="center"/>
        <w:rPr>
          <w:rFonts w:ascii="仿宋_GB2312" w:hAnsi="黑体" w:eastAsia="仿宋_GB2312" w:cs="Times New Roman"/>
          <w:b/>
          <w:bCs/>
          <w:kern w:val="0"/>
          <w:sz w:val="32"/>
          <w:szCs w:val="32"/>
        </w:rPr>
      </w:pPr>
      <w:r>
        <w:rPr>
          <w:rFonts w:hint="eastAsia" w:ascii="仿宋_GB2312" w:hAnsi="黑体" w:eastAsia="仿宋_GB2312" w:cs="Times New Roman"/>
          <w:b/>
          <w:bCs/>
          <w:kern w:val="0"/>
          <w:sz w:val="32"/>
          <w:szCs w:val="32"/>
        </w:rPr>
        <w:t>有限公司2023-2024年度开发项目住宅燃气采暖热水炉</w:t>
      </w:r>
    </w:p>
    <w:p>
      <w:pPr>
        <w:spacing w:before="156" w:beforeLines="50" w:after="156" w:afterLines="50" w:line="360" w:lineRule="auto"/>
        <w:jc w:val="center"/>
        <w:rPr>
          <w:rFonts w:ascii="仿宋_GB2312" w:hAnsi="黑体" w:eastAsia="仿宋_GB2312" w:cs="Times New Roman"/>
          <w:b/>
          <w:bCs/>
          <w:kern w:val="0"/>
          <w:sz w:val="32"/>
          <w:szCs w:val="32"/>
        </w:rPr>
      </w:pPr>
      <w:r>
        <w:rPr>
          <w:rFonts w:hint="eastAsia" w:ascii="仿宋_GB2312" w:hAnsi="黑体" w:eastAsia="仿宋_GB2312" w:cs="Times New Roman"/>
          <w:b/>
          <w:bCs/>
          <w:kern w:val="0"/>
          <w:sz w:val="32"/>
          <w:szCs w:val="32"/>
        </w:rPr>
        <w:t>集中采购/标段</w:t>
      </w:r>
    </w:p>
    <w:p>
      <w:pPr>
        <w:spacing w:before="156" w:beforeLines="50" w:after="156" w:afterLines="50" w:line="360" w:lineRule="auto"/>
        <w:jc w:val="center"/>
        <w:rPr>
          <w:rFonts w:ascii="仿宋_GB2312" w:hAnsi="黑体" w:eastAsia="仿宋_GB2312" w:cs="Times New Roman"/>
          <w:b/>
          <w:bCs/>
          <w:kern w:val="0"/>
          <w:sz w:val="32"/>
          <w:szCs w:val="32"/>
        </w:rPr>
      </w:pPr>
      <w:r>
        <w:rPr>
          <w:rFonts w:hint="eastAsia" w:ascii="仿宋_GB2312" w:hAnsi="黑体" w:eastAsia="仿宋_GB2312" w:cs="Times New Roman"/>
          <w:b/>
          <w:bCs/>
          <w:kern w:val="0"/>
          <w:sz w:val="32"/>
          <w:szCs w:val="32"/>
        </w:rPr>
        <w:t>答疑文件</w:t>
      </w:r>
    </w:p>
    <w:p>
      <w:pPr>
        <w:pStyle w:val="2"/>
        <w:ind w:firstLine="640" w:firstLineChars="200"/>
        <w:rPr>
          <w:rFonts w:ascii="仿宋_GB2312" w:hAnsi="黑体" w:eastAsia="仿宋_GB2312" w:cs="Times New Roman"/>
          <w:kern w:val="0"/>
          <w:sz w:val="32"/>
          <w:szCs w:val="32"/>
          <w:lang w:val="en-US"/>
        </w:rPr>
      </w:pPr>
      <w:r>
        <w:rPr>
          <w:rFonts w:hint="eastAsia" w:ascii="仿宋_GB2312" w:hAnsi="黑体" w:eastAsia="仿宋_GB2312" w:cs="Times New Roman"/>
          <w:kern w:val="0"/>
          <w:sz w:val="32"/>
          <w:szCs w:val="32"/>
        </w:rPr>
        <w:t>此内容作为资格预审文件不可分割的组成部分，与资格预审文件具有同等约束力，请申请人照此执行。</w:t>
      </w:r>
    </w:p>
    <w:p>
      <w:pPr>
        <w:rPr>
          <w:rFonts w:ascii="仿宋_GB2312" w:hAnsi="黑体" w:eastAsia="仿宋_GB2312" w:cs="Times New Roman"/>
          <w:kern w:val="0"/>
          <w:sz w:val="32"/>
          <w:szCs w:val="32"/>
        </w:rPr>
      </w:pPr>
    </w:p>
    <w:p>
      <w:pPr>
        <w:spacing w:line="360" w:lineRule="auto"/>
        <w:ind w:firstLine="640" w:firstLineChars="200"/>
        <w:jc w:val="right"/>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成都轨道城市投资集团有限公司</w:t>
      </w:r>
    </w:p>
    <w:p>
      <w:pPr>
        <w:pStyle w:val="2"/>
        <w:jc w:val="right"/>
        <w:rPr>
          <w:lang w:val="en-US"/>
        </w:rPr>
      </w:pPr>
    </w:p>
    <w:p>
      <w:pPr>
        <w:spacing w:line="360" w:lineRule="auto"/>
        <w:ind w:firstLine="640" w:firstLineChars="200"/>
        <w:jc w:val="right"/>
        <w:rPr>
          <w:rFonts w:ascii="仿宋_GB2312" w:hAnsi="黑体" w:eastAsia="仿宋_GB2312" w:cs="Times New Roman"/>
          <w:kern w:val="0"/>
          <w:sz w:val="32"/>
          <w:szCs w:val="32"/>
        </w:rPr>
      </w:pPr>
      <w:r>
        <w:rPr>
          <w:rFonts w:ascii="仿宋_GB2312" w:hAnsi="黑体" w:eastAsia="仿宋_GB2312" w:cs="Times New Roman"/>
          <w:kern w:val="0"/>
          <w:sz w:val="32"/>
          <w:szCs w:val="32"/>
        </w:rPr>
        <w:t>成都城投置地（集团）有限公司</w:t>
      </w:r>
    </w:p>
    <w:p>
      <w:pPr>
        <w:pStyle w:val="2"/>
        <w:rPr>
          <w:lang w:val="en-US"/>
        </w:rPr>
      </w:pPr>
    </w:p>
    <w:p>
      <w:pPr>
        <w:jc w:val="right"/>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2023年6月</w:t>
      </w:r>
      <w:r>
        <w:rPr>
          <w:rFonts w:hint="eastAsia" w:ascii="仿宋_GB2312" w:hAnsi="黑体" w:eastAsia="仿宋_GB2312" w:cs="Times New Roman"/>
          <w:kern w:val="0"/>
          <w:sz w:val="32"/>
          <w:szCs w:val="32"/>
          <w:lang w:val="en-US" w:eastAsia="zh-CN"/>
        </w:rPr>
        <w:t>28</w:t>
      </w:r>
      <w:r>
        <w:rPr>
          <w:rFonts w:hint="eastAsia" w:ascii="仿宋_GB2312" w:hAnsi="黑体" w:eastAsia="仿宋_GB2312" w:cs="Times New Roman"/>
          <w:kern w:val="0"/>
          <w:sz w:val="32"/>
          <w:szCs w:val="32"/>
        </w:rPr>
        <w:t>日</w:t>
      </w:r>
      <w:r>
        <w:rPr>
          <w:rFonts w:ascii="微软雅黑" w:hAnsi="微软雅黑" w:eastAsia="微软雅黑" w:cs="微软雅黑"/>
          <w:sz w:val="24"/>
        </w:rPr>
        <w:br w:type="page"/>
      </w:r>
    </w:p>
    <w:p>
      <w:pPr>
        <w:ind w:firstLine="640" w:firstLineChars="200"/>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 xml:space="preserve">提问1：我司有一个框架协议及其范围内的单项目合同金额超过2000万，其中单项目合同也超过了800万元，评分时是否可以认定为两个业绩，得分为5+8=13分？ </w:t>
      </w:r>
    </w:p>
    <w:p>
      <w:pPr>
        <w:ind w:firstLine="640" w:firstLineChars="200"/>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答复：一个框架协议及其范围内的单项目合同金额超过2000万，其中单项目合同也超过了800万元只认定为一个业绩，只得一个业绩分数。即认定为单个项目合同金额不低于800万元的燃气采暖热水炉业绩，或者同一个框架协议（或集采协议、入库协议、战略协议等）范围内单项目合同金额合计不低于2000万的燃气采暖热水炉业绩。</w:t>
      </w:r>
    </w:p>
    <w:p>
      <w:pPr>
        <w:ind w:firstLine="640" w:firstLineChars="200"/>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提问2：申请人资格要求中单个项目合同乙方是否可为申请人自身或其分公司或授权的代理商（含申请人子公司）？</w:t>
      </w:r>
    </w:p>
    <w:p>
      <w:pPr>
        <w:pStyle w:val="2"/>
        <w:ind w:firstLine="640" w:firstLineChars="200"/>
        <w:rPr>
          <w:rFonts w:ascii="仿宋_GB2312" w:hAnsi="黑体" w:eastAsia="仿宋_GB2312" w:cs="Times New Roman"/>
          <w:kern w:val="0"/>
          <w:sz w:val="32"/>
          <w:szCs w:val="32"/>
          <w:lang w:val="en-US"/>
        </w:rPr>
      </w:pPr>
      <w:r>
        <w:rPr>
          <w:rFonts w:hint="eastAsia" w:ascii="仿宋_GB2312" w:hAnsi="黑体" w:eastAsia="仿宋_GB2312" w:cs="Times New Roman"/>
          <w:kern w:val="0"/>
          <w:sz w:val="32"/>
          <w:szCs w:val="32"/>
          <w:lang w:val="en-US"/>
        </w:rPr>
        <w:t>答复：</w:t>
      </w:r>
      <w:r>
        <w:rPr>
          <w:rFonts w:hint="eastAsia" w:ascii="仿宋_GB2312" w:hAnsi="黑体" w:eastAsia="仿宋_GB2312" w:cs="Times New Roman"/>
          <w:kern w:val="0"/>
          <w:sz w:val="32"/>
          <w:szCs w:val="32"/>
        </w:rPr>
        <w:t>申请人资格要求中单个项目合同乙方可为申请人自身或其分公司或授权的代理商（含申请人子公司）。</w:t>
      </w:r>
    </w:p>
    <w:p>
      <w:pPr>
        <w:ind w:firstLine="640" w:firstLineChars="200"/>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 xml:space="preserve">提问3：产热水率不低于制造商标称值的100%，能否修改：产热水率不低于制造商标称值的97%；30%额定热负荷不低于92%，能否修改：30%额定热负荷不低于91% </w:t>
      </w:r>
    </w:p>
    <w:p>
      <w:pPr>
        <w:ind w:firstLine="640" w:firstLineChars="200"/>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答复：不做修改，本次资格预审文件内招标技术需求书内2.3换热部分中第九项关于产热水能力的要求为：“产热水能力不应小于制造商声称值的95%”，2.5 能效等级中关于常规炉能效等级中要求“采暖30%额定热负荷，热效率值不低于85%”，以上均为GB</w:t>
      </w:r>
      <w:r>
        <w:rPr>
          <w:rFonts w:ascii="仿宋_GB2312" w:hAnsi="黑体" w:eastAsia="仿宋_GB2312" w:cs="Times New Roman"/>
          <w:kern w:val="0"/>
          <w:sz w:val="32"/>
          <w:szCs w:val="32"/>
        </w:rPr>
        <w:t>25034</w:t>
      </w:r>
      <w:r>
        <w:rPr>
          <w:rFonts w:hint="eastAsia" w:ascii="仿宋_GB2312" w:hAnsi="黑体" w:eastAsia="仿宋_GB2312" w:cs="Times New Roman"/>
          <w:kern w:val="0"/>
          <w:sz w:val="32"/>
          <w:szCs w:val="32"/>
        </w:rPr>
        <w:t>-</w:t>
      </w:r>
      <w:r>
        <w:rPr>
          <w:rFonts w:ascii="仿宋_GB2312" w:hAnsi="黑体" w:eastAsia="仿宋_GB2312" w:cs="Times New Roman"/>
          <w:kern w:val="0"/>
          <w:sz w:val="32"/>
          <w:szCs w:val="32"/>
        </w:rPr>
        <w:t>2020</w:t>
      </w:r>
      <w:r>
        <w:rPr>
          <w:rFonts w:hint="eastAsia" w:ascii="仿宋_GB2312" w:hAnsi="黑体" w:eastAsia="仿宋_GB2312" w:cs="Times New Roman"/>
          <w:kern w:val="0"/>
          <w:sz w:val="32"/>
          <w:szCs w:val="32"/>
        </w:rPr>
        <w:t>内要求。</w:t>
      </w:r>
    </w:p>
    <w:p>
      <w:pPr>
        <w:ind w:firstLine="640" w:firstLineChars="200"/>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 xml:space="preserve">提问4：配有进口品牌双管风压开关 疑问：我司产品升级后风压开关国产品牌，单管设计是否可行 </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rPr>
        <w:t>答</w:t>
      </w:r>
      <w:r>
        <w:rPr>
          <w:rFonts w:hint="eastAsia" w:ascii="仿宋_GB2312" w:hAnsi="黑体" w:eastAsia="仿宋_GB2312" w:cs="Times New Roman"/>
          <w:kern w:val="0"/>
          <w:sz w:val="32"/>
          <w:szCs w:val="32"/>
          <w:highlight w:val="none"/>
        </w:rPr>
        <w:t>复：</w:t>
      </w:r>
      <w:r>
        <w:rPr>
          <w:rFonts w:hint="eastAsia" w:ascii="仿宋_GB2312" w:hAnsi="黑体" w:eastAsia="仿宋_GB2312" w:cs="Times New Roman"/>
          <w:kern w:val="0"/>
          <w:sz w:val="32"/>
          <w:szCs w:val="32"/>
          <w:highlight w:val="none"/>
          <w:lang w:val="en-US" w:eastAsia="zh-CN"/>
        </w:rPr>
        <w:t>单管</w:t>
      </w:r>
      <w:r>
        <w:rPr>
          <w:rFonts w:hint="eastAsia" w:ascii="仿宋_GB2312" w:hAnsi="黑体" w:eastAsia="仿宋_GB2312" w:cs="Times New Roman"/>
          <w:kern w:val="0"/>
          <w:sz w:val="32"/>
          <w:szCs w:val="32"/>
          <w:highlight w:val="none"/>
        </w:rPr>
        <w:t>不可行。按照资格预审文件内招标技术需求书内2.2燃气燃烧部分，第六项关于燃气/空气比例控制中要求执行</w:t>
      </w:r>
      <w:r>
        <w:rPr>
          <w:rFonts w:hint="eastAsia" w:ascii="仿宋_GB2312" w:hAnsi="黑体" w:eastAsia="仿宋_GB2312" w:cs="Times New Roman"/>
          <w:kern w:val="0"/>
          <w:sz w:val="32"/>
          <w:szCs w:val="32"/>
          <w:highlight w:val="none"/>
          <w:lang w:eastAsia="zh-CN"/>
        </w:rPr>
        <w:t>。</w:t>
      </w:r>
      <w:r>
        <w:rPr>
          <w:rFonts w:hint="eastAsia" w:ascii="仿宋_GB2312" w:hAnsi="黑体" w:eastAsia="仿宋_GB2312" w:cs="Times New Roman"/>
          <w:kern w:val="0"/>
          <w:sz w:val="32"/>
          <w:szCs w:val="32"/>
          <w:highlight w:val="none"/>
        </w:rPr>
        <w:t>双管风压开关有利于提高探测精度、灵敏性更好、</w:t>
      </w:r>
      <w:r>
        <w:rPr>
          <w:rFonts w:hint="eastAsia" w:ascii="仿宋_GB2312" w:hAnsi="黑体" w:eastAsia="仿宋_GB2312" w:cs="Times New Roman"/>
          <w:kern w:val="0"/>
          <w:sz w:val="32"/>
          <w:szCs w:val="32"/>
          <w:highlight w:val="none"/>
          <w:lang w:val="en-US" w:eastAsia="zh-CN"/>
        </w:rPr>
        <w:t>有利于</w:t>
      </w:r>
      <w:r>
        <w:rPr>
          <w:rFonts w:hint="eastAsia" w:ascii="仿宋_GB2312" w:hAnsi="黑体" w:eastAsia="仿宋_GB2312" w:cs="Times New Roman"/>
          <w:kern w:val="0"/>
          <w:sz w:val="32"/>
          <w:szCs w:val="32"/>
          <w:highlight w:val="none"/>
        </w:rPr>
        <w:t>提高产品安全性能。</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 xml:space="preserve">提问5：采暖炉同品牌或进口品牌的一体式不锈钢式燃烧火排 疑问：进口炉均为进口品牌，国产的是国产品牌是否可行 </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答复：一体式不锈钢式燃烧火排</w:t>
      </w:r>
      <w:r>
        <w:rPr>
          <w:rFonts w:hint="eastAsia" w:ascii="仿宋_GB2312" w:hAnsi="黑体" w:eastAsia="仿宋_GB2312" w:cs="Times New Roman"/>
          <w:kern w:val="0"/>
          <w:sz w:val="32"/>
          <w:szCs w:val="32"/>
          <w:highlight w:val="none"/>
          <w:lang w:val="en-US" w:eastAsia="zh-CN"/>
        </w:rPr>
        <w:t>与</w:t>
      </w:r>
      <w:r>
        <w:rPr>
          <w:rFonts w:hint="eastAsia" w:ascii="仿宋_GB2312" w:hAnsi="黑体" w:eastAsia="仿宋_GB2312" w:cs="Times New Roman"/>
          <w:kern w:val="0"/>
          <w:sz w:val="32"/>
          <w:szCs w:val="32"/>
          <w:highlight w:val="none"/>
        </w:rPr>
        <w:t>采暖炉</w:t>
      </w:r>
      <w:r>
        <w:rPr>
          <w:rFonts w:hint="eastAsia" w:ascii="仿宋_GB2312" w:hAnsi="黑体" w:eastAsia="仿宋_GB2312" w:cs="Times New Roman"/>
          <w:kern w:val="0"/>
          <w:sz w:val="32"/>
          <w:szCs w:val="32"/>
          <w:highlight w:val="none"/>
          <w:lang w:val="en-US" w:eastAsia="zh-CN"/>
        </w:rPr>
        <w:t>同为进口品牌或国产品牌可行</w:t>
      </w:r>
      <w:r>
        <w:rPr>
          <w:rFonts w:hint="eastAsia" w:ascii="仿宋_GB2312" w:hAnsi="黑体" w:eastAsia="仿宋_GB2312" w:cs="Times New Roman"/>
          <w:kern w:val="0"/>
          <w:sz w:val="32"/>
          <w:szCs w:val="32"/>
          <w:highlight w:val="none"/>
        </w:rPr>
        <w:t>。按照资格预审文件内招标技术需求书内2.2燃气燃烧部分，第九项关于燃烧器火排中要求执行</w:t>
      </w:r>
      <w:r>
        <w:rPr>
          <w:rFonts w:hint="eastAsia" w:ascii="仿宋_GB2312" w:hAnsi="黑体" w:eastAsia="仿宋_GB2312" w:cs="Times New Roman"/>
          <w:kern w:val="0"/>
          <w:sz w:val="32"/>
          <w:szCs w:val="32"/>
          <w:highlight w:val="none"/>
          <w:lang w:eastAsia="zh-CN"/>
        </w:rPr>
        <w:t>。</w:t>
      </w:r>
      <w:r>
        <w:rPr>
          <w:rFonts w:hint="eastAsia" w:ascii="仿宋_GB2312" w:hAnsi="黑体" w:eastAsia="仿宋_GB2312" w:cs="Times New Roman"/>
          <w:kern w:val="0"/>
          <w:sz w:val="32"/>
          <w:szCs w:val="32"/>
          <w:highlight w:val="none"/>
        </w:rPr>
        <w:t>燃烧火排为产品核心部件，考验的是耐高温和防腐蚀能力，</w:t>
      </w:r>
      <w:r>
        <w:rPr>
          <w:rFonts w:hint="eastAsia" w:ascii="仿宋_GB2312" w:hAnsi="黑体" w:eastAsia="仿宋_GB2312" w:cs="Times New Roman"/>
          <w:kern w:val="0"/>
          <w:sz w:val="32"/>
          <w:szCs w:val="32"/>
          <w:highlight w:val="none"/>
          <w:lang w:val="en-US" w:eastAsia="zh-CN"/>
        </w:rPr>
        <w:t>对</w:t>
      </w:r>
      <w:r>
        <w:rPr>
          <w:rFonts w:hint="eastAsia" w:ascii="仿宋_GB2312" w:hAnsi="黑体" w:eastAsia="仿宋_GB2312" w:cs="Times New Roman"/>
          <w:kern w:val="0"/>
          <w:sz w:val="32"/>
          <w:szCs w:val="32"/>
          <w:highlight w:val="none"/>
        </w:rPr>
        <w:t>品牌</w:t>
      </w:r>
      <w:r>
        <w:rPr>
          <w:rFonts w:hint="eastAsia" w:ascii="仿宋_GB2312" w:hAnsi="黑体" w:eastAsia="仿宋_GB2312" w:cs="Times New Roman"/>
          <w:kern w:val="0"/>
          <w:sz w:val="32"/>
          <w:szCs w:val="32"/>
          <w:highlight w:val="none"/>
          <w:lang w:val="en-US" w:eastAsia="zh-CN"/>
        </w:rPr>
        <w:t>的要求是确保</w:t>
      </w:r>
      <w:r>
        <w:rPr>
          <w:rFonts w:hint="eastAsia" w:ascii="仿宋_GB2312" w:hAnsi="黑体" w:eastAsia="仿宋_GB2312" w:cs="Times New Roman"/>
          <w:kern w:val="0"/>
          <w:sz w:val="32"/>
          <w:szCs w:val="32"/>
          <w:highlight w:val="none"/>
        </w:rPr>
        <w:t>与产品适配度更高</w:t>
      </w:r>
      <w:r>
        <w:rPr>
          <w:rFonts w:hint="eastAsia" w:ascii="仿宋_GB2312" w:hAnsi="黑体" w:eastAsia="仿宋_GB2312" w:cs="Times New Roman"/>
          <w:kern w:val="0"/>
          <w:sz w:val="32"/>
          <w:szCs w:val="32"/>
          <w:highlight w:val="none"/>
          <w:lang w:val="en-US" w:eastAsia="zh-CN"/>
        </w:rPr>
        <w:t>且</w:t>
      </w:r>
      <w:r>
        <w:rPr>
          <w:rFonts w:hint="eastAsia" w:ascii="仿宋_GB2312" w:hAnsi="黑体" w:eastAsia="仿宋_GB2312" w:cs="Times New Roman"/>
          <w:kern w:val="0"/>
          <w:sz w:val="32"/>
          <w:szCs w:val="32"/>
          <w:highlight w:val="none"/>
        </w:rPr>
        <w:t>保证产品稳定性。</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提问6：点火热负荷不应大于额定热负荷的33% 疑问：此次投标产品为12.7kw，是否可行</w:t>
      </w:r>
    </w:p>
    <w:p>
      <w:pPr>
        <w:ind w:firstLine="640" w:firstLineChars="200"/>
        <w:rPr>
          <w:rFonts w:hint="eastAsia"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答复：点火热负荷不应大于额定热负荷的33%</w:t>
      </w:r>
      <w:r>
        <w:rPr>
          <w:rFonts w:hint="eastAsia" w:ascii="仿宋_GB2312" w:hAnsi="黑体" w:eastAsia="仿宋_GB2312" w:cs="Times New Roman"/>
          <w:kern w:val="0"/>
          <w:sz w:val="32"/>
          <w:szCs w:val="32"/>
          <w:highlight w:val="none"/>
          <w:lang w:val="en-US" w:eastAsia="zh-CN"/>
        </w:rPr>
        <w:t>则</w:t>
      </w:r>
      <w:r>
        <w:rPr>
          <w:rFonts w:hint="eastAsia" w:ascii="仿宋_GB2312" w:hAnsi="黑体" w:eastAsia="仿宋_GB2312" w:cs="Times New Roman"/>
          <w:kern w:val="0"/>
          <w:sz w:val="32"/>
          <w:szCs w:val="32"/>
          <w:highlight w:val="none"/>
        </w:rPr>
        <w:t>可行</w:t>
      </w:r>
      <w:r>
        <w:rPr>
          <w:rFonts w:hint="eastAsia" w:ascii="仿宋_GB2312" w:hAnsi="黑体" w:eastAsia="仿宋_GB2312" w:cs="Times New Roman"/>
          <w:kern w:val="0"/>
          <w:sz w:val="32"/>
          <w:szCs w:val="32"/>
          <w:highlight w:val="none"/>
          <w:lang w:eastAsia="zh-CN"/>
        </w:rPr>
        <w:t>，</w:t>
      </w:r>
      <w:r>
        <w:rPr>
          <w:rFonts w:hint="eastAsia" w:ascii="仿宋_GB2312" w:hAnsi="黑体" w:eastAsia="仿宋_GB2312" w:cs="Times New Roman"/>
          <w:kern w:val="0"/>
          <w:sz w:val="32"/>
          <w:szCs w:val="32"/>
          <w:highlight w:val="none"/>
          <w:lang w:val="en-US" w:eastAsia="zh-CN"/>
        </w:rPr>
        <w:t>否则不可行</w:t>
      </w:r>
      <w:r>
        <w:rPr>
          <w:rFonts w:hint="eastAsia" w:ascii="仿宋_GB2312" w:hAnsi="黑体" w:eastAsia="仿宋_GB2312" w:cs="Times New Roman"/>
          <w:kern w:val="0"/>
          <w:sz w:val="32"/>
          <w:szCs w:val="32"/>
          <w:highlight w:val="none"/>
        </w:rPr>
        <w:t>。</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提问7：采暖系统温度调节范围40-75℃(</w:t>
      </w:r>
      <w:r>
        <w:rPr>
          <w:rFonts w:hint="eastAsia" w:ascii="仿宋_GB2312" w:hAnsi="黑体" w:eastAsia="仿宋_GB2312" w:cs="Times New Roman"/>
          <w:kern w:val="0"/>
          <w:sz w:val="32"/>
          <w:szCs w:val="32"/>
          <w:highlight w:val="none"/>
          <w:lang w:val="en-US" w:eastAsia="zh-CN"/>
        </w:rPr>
        <w:t>投标产品</w:t>
      </w:r>
      <w:r>
        <w:rPr>
          <w:rFonts w:hint="eastAsia" w:ascii="仿宋_GB2312" w:hAnsi="黑体" w:eastAsia="仿宋_GB2312" w:cs="Times New Roman"/>
          <w:kern w:val="0"/>
          <w:sz w:val="32"/>
          <w:szCs w:val="32"/>
          <w:highlight w:val="none"/>
        </w:rPr>
        <w:t>调节范围为35-82)，生活热水水温调节范围35-55℃(</w:t>
      </w:r>
      <w:r>
        <w:rPr>
          <w:rFonts w:hint="eastAsia" w:ascii="仿宋_GB2312" w:hAnsi="黑体" w:eastAsia="仿宋_GB2312" w:cs="Times New Roman"/>
          <w:kern w:val="0"/>
          <w:sz w:val="32"/>
          <w:szCs w:val="32"/>
          <w:highlight w:val="none"/>
          <w:lang w:val="en-US" w:eastAsia="zh-CN"/>
        </w:rPr>
        <w:t>投标产品</w:t>
      </w:r>
      <w:r>
        <w:rPr>
          <w:rFonts w:hint="eastAsia" w:ascii="仿宋_GB2312" w:hAnsi="黑体" w:eastAsia="仿宋_GB2312" w:cs="Times New Roman"/>
          <w:kern w:val="0"/>
          <w:sz w:val="32"/>
          <w:szCs w:val="32"/>
          <w:highlight w:val="none"/>
        </w:rPr>
        <w:t xml:space="preserve">调节范围为36-60)，是否可行 </w:t>
      </w:r>
    </w:p>
    <w:p>
      <w:pPr>
        <w:ind w:firstLine="640" w:firstLineChars="200"/>
        <w:rPr>
          <w:rFonts w:hint="eastAsia"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答复：采暖系统温度调节范围</w:t>
      </w:r>
      <w:r>
        <w:rPr>
          <w:rFonts w:hint="eastAsia" w:ascii="仿宋_GB2312" w:hAnsi="黑体" w:eastAsia="仿宋_GB2312" w:cs="Times New Roman"/>
          <w:kern w:val="0"/>
          <w:sz w:val="32"/>
          <w:szCs w:val="32"/>
          <w:highlight w:val="none"/>
          <w:lang w:val="en-US" w:eastAsia="zh-CN"/>
        </w:rPr>
        <w:t>大于</w:t>
      </w:r>
      <w:r>
        <w:rPr>
          <w:rFonts w:hint="eastAsia" w:ascii="仿宋_GB2312" w:hAnsi="黑体" w:eastAsia="仿宋_GB2312" w:cs="Times New Roman"/>
          <w:kern w:val="0"/>
          <w:sz w:val="32"/>
          <w:szCs w:val="32"/>
          <w:highlight w:val="none"/>
        </w:rPr>
        <w:t>40-75℃</w:t>
      </w:r>
      <w:r>
        <w:rPr>
          <w:rFonts w:hint="eastAsia" w:ascii="仿宋_GB2312" w:hAnsi="黑体" w:eastAsia="仿宋_GB2312" w:cs="Times New Roman"/>
          <w:kern w:val="0"/>
          <w:sz w:val="32"/>
          <w:szCs w:val="32"/>
          <w:highlight w:val="none"/>
          <w:lang w:val="en-US" w:eastAsia="zh-CN"/>
        </w:rPr>
        <w:t>可行，如</w:t>
      </w:r>
      <w:r>
        <w:rPr>
          <w:rFonts w:hint="eastAsia" w:ascii="仿宋_GB2312" w:hAnsi="黑体" w:eastAsia="仿宋_GB2312" w:cs="Times New Roman"/>
          <w:kern w:val="0"/>
          <w:sz w:val="32"/>
          <w:szCs w:val="32"/>
          <w:highlight w:val="none"/>
        </w:rPr>
        <w:t>(35-82℃</w:t>
      </w:r>
      <w:r>
        <w:rPr>
          <w:rFonts w:hint="eastAsia" w:ascii="仿宋_GB2312" w:hAnsi="黑体" w:eastAsia="仿宋_GB2312" w:cs="Times New Roman"/>
          <w:kern w:val="0"/>
          <w:sz w:val="32"/>
          <w:szCs w:val="32"/>
          <w:highlight w:val="none"/>
          <w:lang w:val="en-US" w:eastAsia="zh-CN"/>
        </w:rPr>
        <w:t>则属于</w:t>
      </w:r>
      <w:r>
        <w:rPr>
          <w:rFonts w:hint="eastAsia" w:ascii="仿宋_GB2312" w:hAnsi="黑体" w:eastAsia="仿宋_GB2312" w:cs="Times New Roman"/>
          <w:kern w:val="0"/>
          <w:sz w:val="32"/>
          <w:szCs w:val="32"/>
          <w:highlight w:val="none"/>
        </w:rPr>
        <w:t>可行</w:t>
      </w:r>
      <w:r>
        <w:rPr>
          <w:rFonts w:hint="eastAsia" w:ascii="仿宋_GB2312" w:hAnsi="黑体" w:eastAsia="仿宋_GB2312" w:cs="Times New Roman"/>
          <w:kern w:val="0"/>
          <w:sz w:val="32"/>
          <w:szCs w:val="32"/>
          <w:highlight w:val="none"/>
          <w:lang w:val="en-US" w:eastAsia="zh-CN"/>
        </w:rPr>
        <w:t>范围；</w:t>
      </w:r>
      <w:r>
        <w:rPr>
          <w:rFonts w:hint="eastAsia" w:ascii="仿宋_GB2312" w:hAnsi="黑体" w:eastAsia="仿宋_GB2312" w:cs="Times New Roman"/>
          <w:kern w:val="0"/>
          <w:sz w:val="32"/>
          <w:szCs w:val="32"/>
          <w:highlight w:val="none"/>
        </w:rPr>
        <w:t>生活热水水温调节范围</w:t>
      </w:r>
      <w:r>
        <w:rPr>
          <w:rFonts w:hint="eastAsia" w:ascii="仿宋_GB2312" w:hAnsi="黑体" w:eastAsia="仿宋_GB2312" w:cs="Times New Roman"/>
          <w:kern w:val="0"/>
          <w:sz w:val="32"/>
          <w:szCs w:val="32"/>
          <w:highlight w:val="none"/>
          <w:lang w:val="en-US" w:eastAsia="zh-CN"/>
        </w:rPr>
        <w:t>大于</w:t>
      </w:r>
      <w:r>
        <w:rPr>
          <w:rFonts w:hint="eastAsia" w:ascii="仿宋_GB2312" w:hAnsi="黑体" w:eastAsia="仿宋_GB2312" w:cs="Times New Roman"/>
          <w:kern w:val="0"/>
          <w:sz w:val="32"/>
          <w:szCs w:val="32"/>
          <w:highlight w:val="none"/>
        </w:rPr>
        <w:t>35-55℃</w:t>
      </w:r>
      <w:r>
        <w:rPr>
          <w:rFonts w:hint="eastAsia" w:ascii="仿宋_GB2312" w:hAnsi="黑体" w:eastAsia="仿宋_GB2312" w:cs="Times New Roman"/>
          <w:kern w:val="0"/>
          <w:sz w:val="32"/>
          <w:szCs w:val="32"/>
          <w:highlight w:val="none"/>
          <w:lang w:val="en-US" w:eastAsia="zh-CN"/>
        </w:rPr>
        <w:t>可行，如30</w:t>
      </w:r>
      <w:r>
        <w:rPr>
          <w:rFonts w:hint="eastAsia" w:ascii="仿宋_GB2312" w:hAnsi="黑体" w:eastAsia="仿宋_GB2312" w:cs="Times New Roman"/>
          <w:kern w:val="0"/>
          <w:sz w:val="32"/>
          <w:szCs w:val="32"/>
          <w:highlight w:val="none"/>
        </w:rPr>
        <w:t>-</w:t>
      </w:r>
      <w:r>
        <w:rPr>
          <w:rFonts w:hint="eastAsia" w:ascii="仿宋_GB2312" w:hAnsi="黑体" w:eastAsia="仿宋_GB2312" w:cs="Times New Roman"/>
          <w:kern w:val="0"/>
          <w:sz w:val="32"/>
          <w:szCs w:val="32"/>
          <w:highlight w:val="none"/>
          <w:lang w:val="en-US" w:eastAsia="zh-CN"/>
        </w:rPr>
        <w:t>55</w:t>
      </w:r>
      <w:r>
        <w:rPr>
          <w:rFonts w:hint="eastAsia" w:ascii="仿宋_GB2312" w:hAnsi="黑体" w:eastAsia="仿宋_GB2312" w:cs="Times New Roman"/>
          <w:kern w:val="0"/>
          <w:sz w:val="32"/>
          <w:szCs w:val="32"/>
          <w:highlight w:val="none"/>
        </w:rPr>
        <w:t>℃</w:t>
      </w:r>
      <w:r>
        <w:rPr>
          <w:rFonts w:hint="eastAsia" w:ascii="仿宋_GB2312" w:hAnsi="黑体" w:eastAsia="仿宋_GB2312" w:cs="Times New Roman"/>
          <w:kern w:val="0"/>
          <w:sz w:val="32"/>
          <w:szCs w:val="32"/>
          <w:highlight w:val="none"/>
          <w:lang w:val="en-US" w:eastAsia="zh-CN"/>
        </w:rPr>
        <w:t>则属于</w:t>
      </w:r>
      <w:r>
        <w:rPr>
          <w:rFonts w:hint="eastAsia" w:ascii="仿宋_GB2312" w:hAnsi="黑体" w:eastAsia="仿宋_GB2312" w:cs="Times New Roman"/>
          <w:kern w:val="0"/>
          <w:sz w:val="32"/>
          <w:szCs w:val="32"/>
          <w:highlight w:val="none"/>
        </w:rPr>
        <w:t>可行</w:t>
      </w:r>
      <w:r>
        <w:rPr>
          <w:rFonts w:hint="eastAsia" w:ascii="仿宋_GB2312" w:hAnsi="黑体" w:eastAsia="仿宋_GB2312" w:cs="Times New Roman"/>
          <w:kern w:val="0"/>
          <w:sz w:val="32"/>
          <w:szCs w:val="32"/>
          <w:highlight w:val="none"/>
          <w:lang w:val="en-US" w:eastAsia="zh-CN"/>
        </w:rPr>
        <w:t>范围</w:t>
      </w:r>
      <w:r>
        <w:rPr>
          <w:rFonts w:hint="eastAsia" w:ascii="仿宋_GB2312" w:hAnsi="黑体" w:eastAsia="仿宋_GB2312" w:cs="Times New Roman"/>
          <w:kern w:val="0"/>
          <w:sz w:val="32"/>
          <w:szCs w:val="32"/>
          <w:highlight w:val="none"/>
          <w:lang w:eastAsia="zh-CN"/>
        </w:rPr>
        <w:t>，</w:t>
      </w:r>
      <w:r>
        <w:rPr>
          <w:rFonts w:hint="eastAsia" w:ascii="仿宋_GB2312" w:hAnsi="黑体" w:eastAsia="仿宋_GB2312" w:cs="Times New Roman"/>
          <w:kern w:val="0"/>
          <w:sz w:val="32"/>
          <w:szCs w:val="32"/>
          <w:highlight w:val="none"/>
        </w:rPr>
        <w:t>36-60℃</w:t>
      </w:r>
      <w:r>
        <w:rPr>
          <w:rFonts w:hint="eastAsia" w:ascii="仿宋_GB2312" w:hAnsi="黑体" w:eastAsia="仿宋_GB2312" w:cs="Times New Roman"/>
          <w:kern w:val="0"/>
          <w:sz w:val="32"/>
          <w:szCs w:val="32"/>
          <w:highlight w:val="none"/>
          <w:lang w:val="en-US" w:eastAsia="zh-CN"/>
        </w:rPr>
        <w:t>属于</w:t>
      </w:r>
      <w:r>
        <w:rPr>
          <w:rFonts w:hint="eastAsia" w:ascii="仿宋_GB2312" w:hAnsi="黑体" w:eastAsia="仿宋_GB2312" w:cs="Times New Roman"/>
          <w:kern w:val="0"/>
          <w:sz w:val="32"/>
          <w:szCs w:val="32"/>
          <w:highlight w:val="none"/>
        </w:rPr>
        <w:t>不可行</w:t>
      </w:r>
      <w:r>
        <w:rPr>
          <w:rFonts w:hint="eastAsia" w:ascii="仿宋_GB2312" w:hAnsi="黑体" w:eastAsia="仿宋_GB2312" w:cs="Times New Roman"/>
          <w:kern w:val="0"/>
          <w:sz w:val="32"/>
          <w:szCs w:val="32"/>
          <w:highlight w:val="none"/>
          <w:lang w:val="en-US" w:eastAsia="zh-CN"/>
        </w:rPr>
        <w:t>范围</w:t>
      </w:r>
      <w:r>
        <w:rPr>
          <w:rFonts w:hint="eastAsia" w:ascii="仿宋_GB2312" w:hAnsi="黑体" w:eastAsia="仿宋_GB2312" w:cs="Times New Roman"/>
          <w:kern w:val="0"/>
          <w:sz w:val="32"/>
          <w:szCs w:val="32"/>
          <w:highlight w:val="none"/>
        </w:rPr>
        <w:t>。</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提问8：水温超调幅度应在±5K范围内 疑问：国标要求为±10k，不同型号产品水温超调幅度不同，此次投标产品为6k，是否可行</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答：不可行。依据GB</w:t>
      </w:r>
      <w:r>
        <w:rPr>
          <w:rFonts w:ascii="仿宋_GB2312" w:hAnsi="黑体" w:eastAsia="仿宋_GB2312" w:cs="Times New Roman"/>
          <w:kern w:val="0"/>
          <w:sz w:val="32"/>
          <w:szCs w:val="32"/>
          <w:highlight w:val="none"/>
        </w:rPr>
        <w:t>25034</w:t>
      </w:r>
      <w:r>
        <w:rPr>
          <w:rFonts w:hint="eastAsia" w:ascii="仿宋_GB2312" w:hAnsi="黑体" w:eastAsia="仿宋_GB2312" w:cs="Times New Roman"/>
          <w:kern w:val="0"/>
          <w:sz w:val="32"/>
          <w:szCs w:val="32"/>
          <w:highlight w:val="none"/>
        </w:rPr>
        <w:t>-</w:t>
      </w:r>
      <w:r>
        <w:rPr>
          <w:rFonts w:ascii="仿宋_GB2312" w:hAnsi="黑体" w:eastAsia="仿宋_GB2312" w:cs="Times New Roman"/>
          <w:kern w:val="0"/>
          <w:sz w:val="32"/>
          <w:szCs w:val="32"/>
          <w:highlight w:val="none"/>
        </w:rPr>
        <w:t>2020</w:t>
      </w:r>
      <w:r>
        <w:rPr>
          <w:rFonts w:hint="eastAsia" w:ascii="仿宋_GB2312" w:hAnsi="黑体" w:eastAsia="仿宋_GB2312" w:cs="Times New Roman"/>
          <w:kern w:val="0"/>
          <w:sz w:val="32"/>
          <w:szCs w:val="32"/>
          <w:highlight w:val="none"/>
        </w:rPr>
        <w:t>中6</w:t>
      </w:r>
      <w:r>
        <w:rPr>
          <w:rFonts w:ascii="仿宋_GB2312" w:hAnsi="黑体" w:eastAsia="仿宋_GB2312" w:cs="Times New Roman"/>
          <w:kern w:val="0"/>
          <w:sz w:val="32"/>
          <w:szCs w:val="32"/>
          <w:highlight w:val="none"/>
        </w:rPr>
        <w:t>.7</w:t>
      </w:r>
      <w:r>
        <w:rPr>
          <w:rFonts w:hint="eastAsia" w:ascii="仿宋_GB2312" w:hAnsi="黑体" w:eastAsia="仿宋_GB2312" w:cs="Times New Roman"/>
          <w:kern w:val="0"/>
          <w:sz w:val="32"/>
          <w:szCs w:val="32"/>
          <w:highlight w:val="none"/>
        </w:rPr>
        <w:t>生活热水性能中6</w:t>
      </w:r>
      <w:r>
        <w:rPr>
          <w:rFonts w:ascii="仿宋_GB2312" w:hAnsi="黑体" w:eastAsia="仿宋_GB2312" w:cs="Times New Roman"/>
          <w:kern w:val="0"/>
          <w:sz w:val="32"/>
          <w:szCs w:val="32"/>
          <w:highlight w:val="none"/>
        </w:rPr>
        <w:t>.7.6</w:t>
      </w:r>
      <w:r>
        <w:rPr>
          <w:rFonts w:hint="eastAsia" w:ascii="仿宋_GB2312" w:hAnsi="黑体" w:eastAsia="仿宋_GB2312" w:cs="Times New Roman"/>
          <w:kern w:val="0"/>
          <w:sz w:val="32"/>
          <w:szCs w:val="32"/>
          <w:highlight w:val="none"/>
        </w:rPr>
        <w:t>水温超调幅度的要求“水温超调幅度应在±5K范围内”。</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提问9：</w:t>
      </w:r>
      <w:bookmarkStart w:id="0" w:name="_Hlk138604496"/>
      <w:r>
        <w:rPr>
          <w:rFonts w:hint="eastAsia" w:ascii="仿宋_GB2312" w:hAnsi="黑体" w:eastAsia="仿宋_GB2312" w:cs="Times New Roman"/>
          <w:kern w:val="0"/>
          <w:sz w:val="32"/>
          <w:szCs w:val="32"/>
          <w:highlight w:val="none"/>
        </w:rPr>
        <w:t>生活热水系统工作压力0.03-0.8Mpa</w:t>
      </w:r>
      <w:bookmarkEnd w:id="0"/>
      <w:r>
        <w:rPr>
          <w:rFonts w:hint="eastAsia" w:ascii="仿宋_GB2312" w:hAnsi="黑体" w:eastAsia="仿宋_GB2312" w:cs="Times New Roman"/>
          <w:kern w:val="0"/>
          <w:sz w:val="32"/>
          <w:szCs w:val="32"/>
          <w:highlight w:val="none"/>
        </w:rPr>
        <w:t xml:space="preserve"> 疑问： 我司产品为0.03-0.7Mpa，是否可行 </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答复：不可行。按照本次资格预审文件内招标技术需求书内2.</w:t>
      </w:r>
      <w:r>
        <w:rPr>
          <w:rFonts w:ascii="仿宋_GB2312" w:hAnsi="黑体" w:eastAsia="仿宋_GB2312" w:cs="Times New Roman"/>
          <w:kern w:val="0"/>
          <w:sz w:val="32"/>
          <w:szCs w:val="32"/>
          <w:highlight w:val="none"/>
        </w:rPr>
        <w:t>3</w:t>
      </w:r>
      <w:r>
        <w:rPr>
          <w:rFonts w:hint="eastAsia" w:ascii="仿宋_GB2312" w:hAnsi="黑体" w:eastAsia="仿宋_GB2312" w:cs="Times New Roman"/>
          <w:kern w:val="0"/>
          <w:sz w:val="32"/>
          <w:szCs w:val="32"/>
          <w:highlight w:val="none"/>
        </w:rPr>
        <w:t>换热部分，第十项关于水里组件中要求“生活热水系统工作压力0.03-0.8Mpa”执行</w:t>
      </w:r>
      <w:r>
        <w:rPr>
          <w:rFonts w:hint="eastAsia" w:ascii="仿宋_GB2312" w:hAnsi="黑体" w:eastAsia="仿宋_GB2312" w:cs="Times New Roman"/>
          <w:kern w:val="0"/>
          <w:sz w:val="32"/>
          <w:szCs w:val="32"/>
          <w:highlight w:val="none"/>
          <w:lang w:eastAsia="zh-CN"/>
        </w:rPr>
        <w:t>。</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提问10：水箱内胆材质：BTC340R钢板 疑问：我司产品为内胆材质为BTC245R，是否可行</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答复：不可行。按照本次资格预审文件内招标技术需求书内2.</w:t>
      </w:r>
      <w:r>
        <w:rPr>
          <w:rFonts w:ascii="仿宋_GB2312" w:hAnsi="黑体" w:eastAsia="仿宋_GB2312" w:cs="Times New Roman"/>
          <w:kern w:val="0"/>
          <w:sz w:val="32"/>
          <w:szCs w:val="32"/>
          <w:highlight w:val="none"/>
        </w:rPr>
        <w:t>6</w:t>
      </w:r>
      <w:r>
        <w:rPr>
          <w:rFonts w:hint="eastAsia" w:ascii="仿宋_GB2312" w:hAnsi="黑体" w:eastAsia="仿宋_GB2312" w:cs="Times New Roman"/>
          <w:kern w:val="0"/>
          <w:sz w:val="32"/>
          <w:szCs w:val="32"/>
          <w:highlight w:val="none"/>
        </w:rPr>
        <w:t>配套水箱，第二项关于内胆中要求“内胆材质：BTC340R钢板”执行</w:t>
      </w:r>
      <w:r>
        <w:rPr>
          <w:rFonts w:hint="eastAsia" w:ascii="仿宋_GB2312" w:hAnsi="黑体" w:eastAsia="仿宋_GB2312" w:cs="Times New Roman"/>
          <w:kern w:val="0"/>
          <w:sz w:val="32"/>
          <w:szCs w:val="32"/>
          <w:highlight w:val="none"/>
          <w:lang w:eastAsia="zh-CN"/>
        </w:rPr>
        <w:t>。</w:t>
      </w:r>
      <w:r>
        <w:rPr>
          <w:rFonts w:hint="eastAsia" w:ascii="仿宋_GB2312" w:hAnsi="黑体" w:eastAsia="仿宋_GB2312" w:cs="Times New Roman"/>
          <w:kern w:val="0"/>
          <w:sz w:val="32"/>
          <w:szCs w:val="32"/>
          <w:highlight w:val="none"/>
        </w:rPr>
        <w:t>BT</w:t>
      </w:r>
      <w:r>
        <w:rPr>
          <w:rFonts w:ascii="仿宋_GB2312" w:hAnsi="黑体" w:eastAsia="仿宋_GB2312" w:cs="Times New Roman"/>
          <w:kern w:val="0"/>
          <w:sz w:val="32"/>
          <w:szCs w:val="32"/>
          <w:highlight w:val="none"/>
        </w:rPr>
        <w:t>340</w:t>
      </w:r>
      <w:r>
        <w:rPr>
          <w:rFonts w:hint="eastAsia" w:ascii="仿宋_GB2312" w:hAnsi="黑体" w:eastAsia="仿宋_GB2312" w:cs="Times New Roman"/>
          <w:kern w:val="0"/>
          <w:sz w:val="32"/>
          <w:szCs w:val="32"/>
          <w:highlight w:val="none"/>
        </w:rPr>
        <w:t>R为专用搪瓷钢板，对搪瓷有更好的附着力，同时产品抗腐蚀性、承压性能、可靠性更高。</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 xml:space="preserve">提问11：关于免费开放对接协议 疑问：开放协议需与我司签额外协议，是否接受 </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答复：不接受额外签订协议。</w:t>
      </w:r>
    </w:p>
    <w:p>
      <w:pPr>
        <w:ind w:firstLine="640" w:firstLineChars="200"/>
        <w:rPr>
          <w:rFonts w:ascii="仿宋_GB2312" w:hAnsi="黑体" w:eastAsia="仿宋_GB2312" w:cs="Times New Roman"/>
          <w:kern w:val="0"/>
          <w:sz w:val="32"/>
          <w:szCs w:val="32"/>
          <w:highlight w:val="none"/>
        </w:rPr>
      </w:pPr>
      <w:r>
        <w:rPr>
          <w:rFonts w:hint="eastAsia" w:ascii="仿宋_GB2312" w:hAnsi="黑体" w:eastAsia="仿宋_GB2312" w:cs="Times New Roman"/>
          <w:kern w:val="0"/>
          <w:sz w:val="32"/>
          <w:szCs w:val="32"/>
          <w:highlight w:val="none"/>
        </w:rPr>
        <w:t>提问12：关于联合体： 疑问：联合体牵头人为具有本招标项目相应生产能力的单位，联合体成员为具有独立法人资格的代理商，是否可行 联合体牵头人为生产单位，项目负责人不具备执业资格证书，此项是否更改为联合体成员单位提供</w:t>
      </w:r>
    </w:p>
    <w:p>
      <w:pPr>
        <w:ind w:firstLine="640" w:firstLineChars="200"/>
        <w:rPr>
          <w:highlight w:val="none"/>
        </w:rPr>
      </w:pPr>
      <w:r>
        <w:rPr>
          <w:rFonts w:hint="eastAsia" w:ascii="仿宋_GB2312" w:hAnsi="黑体" w:eastAsia="仿宋_GB2312" w:cs="Times New Roman"/>
          <w:kern w:val="0"/>
          <w:sz w:val="32"/>
          <w:szCs w:val="32"/>
          <w:highlight w:val="none"/>
        </w:rPr>
        <w:t>答复：联</w:t>
      </w:r>
      <w:bookmarkStart w:id="1" w:name="_GoBack"/>
      <w:bookmarkEnd w:id="1"/>
      <w:r>
        <w:rPr>
          <w:rFonts w:hint="eastAsia" w:ascii="仿宋_GB2312" w:hAnsi="黑体" w:eastAsia="仿宋_GB2312" w:cs="Times New Roman"/>
          <w:kern w:val="0"/>
          <w:sz w:val="32"/>
          <w:szCs w:val="32"/>
          <w:highlight w:val="none"/>
        </w:rPr>
        <w:t>合体牵头人为具有本招标项目相应生产能力的单位，联合体成员为具有独立法人资格的代理商可行。项目负责人无执业资格证书要求，联合体申请时项目负责人须为牵头人或其分公司人员。</w:t>
      </w:r>
    </w:p>
    <w:p>
      <w:pPr>
        <w:spacing w:line="360" w:lineRule="auto"/>
        <w:ind w:firstLine="640" w:firstLineChars="200"/>
        <w:jc w:val="right"/>
        <w:rPr>
          <w:rFonts w:ascii="仿宋_GB2312" w:hAnsi="黑体" w:eastAsia="仿宋_GB2312" w:cs="Times New Roman"/>
          <w:kern w:val="0"/>
          <w:sz w:val="32"/>
          <w:szCs w:val="32"/>
        </w:rPr>
      </w:pPr>
    </w:p>
    <w:p>
      <w:pPr>
        <w:spacing w:line="360" w:lineRule="auto"/>
        <w:ind w:firstLine="640" w:firstLineChars="200"/>
        <w:jc w:val="right"/>
        <w:rPr>
          <w:rFonts w:ascii="仿宋_GB2312" w:hAnsi="黑体" w:eastAsia="仿宋_GB2312" w:cs="Times New Roman"/>
          <w:kern w:val="0"/>
          <w:sz w:val="32"/>
          <w:szCs w:val="32"/>
        </w:rPr>
      </w:pPr>
    </w:p>
    <w:p>
      <w:pPr>
        <w:spacing w:line="360" w:lineRule="auto"/>
        <w:ind w:firstLine="640" w:firstLineChars="200"/>
        <w:jc w:val="right"/>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成都轨道城市投资集团有限公司</w:t>
      </w:r>
    </w:p>
    <w:p>
      <w:pPr>
        <w:pStyle w:val="2"/>
        <w:jc w:val="right"/>
        <w:rPr>
          <w:lang w:val="en-US"/>
        </w:rPr>
      </w:pPr>
    </w:p>
    <w:p>
      <w:pPr>
        <w:spacing w:line="360" w:lineRule="auto"/>
        <w:ind w:firstLine="640" w:firstLineChars="200"/>
        <w:jc w:val="right"/>
        <w:rPr>
          <w:rFonts w:ascii="仿宋_GB2312" w:hAnsi="黑体" w:eastAsia="仿宋_GB2312" w:cs="Times New Roman"/>
          <w:kern w:val="0"/>
          <w:sz w:val="32"/>
          <w:szCs w:val="32"/>
        </w:rPr>
      </w:pPr>
      <w:r>
        <w:rPr>
          <w:rFonts w:ascii="仿宋_GB2312" w:hAnsi="黑体" w:eastAsia="仿宋_GB2312" w:cs="Times New Roman"/>
          <w:kern w:val="0"/>
          <w:sz w:val="32"/>
          <w:szCs w:val="32"/>
        </w:rPr>
        <w:t>成都城投置地（集团）有限公司</w:t>
      </w:r>
    </w:p>
    <w:p>
      <w:pPr>
        <w:pStyle w:val="2"/>
        <w:rPr>
          <w:lang w:val="en-US"/>
        </w:rPr>
      </w:pPr>
    </w:p>
    <w:p>
      <w:pPr>
        <w:pStyle w:val="2"/>
        <w:jc w:val="right"/>
        <w:rPr>
          <w:rFonts w:ascii="仿宋_GB2312" w:hAnsi="黑体" w:eastAsia="仿宋_GB2312" w:cs="Times New Roman"/>
          <w:color w:val="FF0000"/>
          <w:kern w:val="0"/>
          <w:sz w:val="32"/>
          <w:szCs w:val="32"/>
        </w:rPr>
      </w:pPr>
      <w:r>
        <w:rPr>
          <w:rFonts w:hint="eastAsia" w:ascii="仿宋_GB2312" w:hAnsi="黑体" w:eastAsia="仿宋_GB2312" w:cs="Times New Roman"/>
          <w:kern w:val="0"/>
          <w:sz w:val="32"/>
          <w:szCs w:val="32"/>
          <w:lang w:val="en-US"/>
        </w:rPr>
        <w:t>2023年6月</w:t>
      </w:r>
      <w:r>
        <w:rPr>
          <w:rFonts w:hint="eastAsia" w:ascii="仿宋_GB2312" w:hAnsi="黑体" w:eastAsia="仿宋_GB2312" w:cs="Times New Roman"/>
          <w:kern w:val="0"/>
          <w:sz w:val="32"/>
          <w:szCs w:val="32"/>
          <w:lang w:val="en-US" w:eastAsia="zh-CN"/>
        </w:rPr>
        <w:t>28</w:t>
      </w:r>
      <w:r>
        <w:rPr>
          <w:rFonts w:hint="eastAsia" w:ascii="仿宋_GB2312" w:hAnsi="黑体" w:eastAsia="仿宋_GB2312" w:cs="Times New Roman"/>
          <w:kern w:val="0"/>
          <w:sz w:val="32"/>
          <w:szCs w:val="32"/>
          <w:lang w:val="en-U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NmU4YjlmYTJiYzM0OTUyMDRkM2NjYjcwYzRmZTgifQ=="/>
  </w:docVars>
  <w:rsids>
    <w:rsidRoot w:val="003334BA"/>
    <w:rsid w:val="000A5C1F"/>
    <w:rsid w:val="000B2A91"/>
    <w:rsid w:val="000E191C"/>
    <w:rsid w:val="000F0638"/>
    <w:rsid w:val="001B042E"/>
    <w:rsid w:val="00213585"/>
    <w:rsid w:val="0027266E"/>
    <w:rsid w:val="002A464E"/>
    <w:rsid w:val="003334BA"/>
    <w:rsid w:val="00377541"/>
    <w:rsid w:val="00393E82"/>
    <w:rsid w:val="00461790"/>
    <w:rsid w:val="004F1984"/>
    <w:rsid w:val="00510441"/>
    <w:rsid w:val="00536F9D"/>
    <w:rsid w:val="00586356"/>
    <w:rsid w:val="00612602"/>
    <w:rsid w:val="006E7206"/>
    <w:rsid w:val="007A7DA9"/>
    <w:rsid w:val="007C6C9F"/>
    <w:rsid w:val="007D4061"/>
    <w:rsid w:val="007F0892"/>
    <w:rsid w:val="00807067"/>
    <w:rsid w:val="00880458"/>
    <w:rsid w:val="00894E9B"/>
    <w:rsid w:val="008C5FF9"/>
    <w:rsid w:val="00904C2D"/>
    <w:rsid w:val="00924FC8"/>
    <w:rsid w:val="00993EC1"/>
    <w:rsid w:val="009A0EE6"/>
    <w:rsid w:val="009A4248"/>
    <w:rsid w:val="009B3035"/>
    <w:rsid w:val="00A018C7"/>
    <w:rsid w:val="00A65561"/>
    <w:rsid w:val="00C33FCF"/>
    <w:rsid w:val="00C43E51"/>
    <w:rsid w:val="00C6490C"/>
    <w:rsid w:val="00CE6645"/>
    <w:rsid w:val="00D619E6"/>
    <w:rsid w:val="00DB33C4"/>
    <w:rsid w:val="00DD672F"/>
    <w:rsid w:val="00E2688A"/>
    <w:rsid w:val="00E91BD7"/>
    <w:rsid w:val="00E92CC6"/>
    <w:rsid w:val="00EC2A3A"/>
    <w:rsid w:val="00F40A6C"/>
    <w:rsid w:val="00FD6530"/>
    <w:rsid w:val="00FF5F93"/>
    <w:rsid w:val="01DB345A"/>
    <w:rsid w:val="02054F52"/>
    <w:rsid w:val="035C0635"/>
    <w:rsid w:val="05A71F37"/>
    <w:rsid w:val="063B4920"/>
    <w:rsid w:val="085E6886"/>
    <w:rsid w:val="09215EDD"/>
    <w:rsid w:val="0A204851"/>
    <w:rsid w:val="0C1C1816"/>
    <w:rsid w:val="0ECA16B7"/>
    <w:rsid w:val="0EEC1973"/>
    <w:rsid w:val="1176756F"/>
    <w:rsid w:val="11A87B4A"/>
    <w:rsid w:val="12282CC2"/>
    <w:rsid w:val="12967F7D"/>
    <w:rsid w:val="1353152A"/>
    <w:rsid w:val="139D4D30"/>
    <w:rsid w:val="13AB3214"/>
    <w:rsid w:val="13DC5487"/>
    <w:rsid w:val="157471D4"/>
    <w:rsid w:val="15BB38AD"/>
    <w:rsid w:val="17310C68"/>
    <w:rsid w:val="177C6402"/>
    <w:rsid w:val="17C84652"/>
    <w:rsid w:val="195E4F66"/>
    <w:rsid w:val="1AB23A71"/>
    <w:rsid w:val="1AC140A9"/>
    <w:rsid w:val="1C2B6011"/>
    <w:rsid w:val="1CB42755"/>
    <w:rsid w:val="1CBA11A9"/>
    <w:rsid w:val="1D3164DE"/>
    <w:rsid w:val="1E9A7895"/>
    <w:rsid w:val="1ED60E87"/>
    <w:rsid w:val="1FD34B3B"/>
    <w:rsid w:val="20784E15"/>
    <w:rsid w:val="214C76A9"/>
    <w:rsid w:val="21F45DDF"/>
    <w:rsid w:val="22612C93"/>
    <w:rsid w:val="22FF5225"/>
    <w:rsid w:val="23B710F7"/>
    <w:rsid w:val="23F32122"/>
    <w:rsid w:val="24D7136E"/>
    <w:rsid w:val="27546C35"/>
    <w:rsid w:val="27AA60DE"/>
    <w:rsid w:val="27F97AD0"/>
    <w:rsid w:val="280F6891"/>
    <w:rsid w:val="2952350F"/>
    <w:rsid w:val="297C1750"/>
    <w:rsid w:val="29B9234E"/>
    <w:rsid w:val="29E03440"/>
    <w:rsid w:val="2AA922DA"/>
    <w:rsid w:val="2BFA5278"/>
    <w:rsid w:val="2E5F42B4"/>
    <w:rsid w:val="2E7432FB"/>
    <w:rsid w:val="3216448E"/>
    <w:rsid w:val="3442558F"/>
    <w:rsid w:val="3A6D1A50"/>
    <w:rsid w:val="3C4A0A46"/>
    <w:rsid w:val="3C4B338E"/>
    <w:rsid w:val="3CC35212"/>
    <w:rsid w:val="3D37405C"/>
    <w:rsid w:val="3D5B62A3"/>
    <w:rsid w:val="3D8529BE"/>
    <w:rsid w:val="3E7D4A22"/>
    <w:rsid w:val="3FE67947"/>
    <w:rsid w:val="418E7DA1"/>
    <w:rsid w:val="41D9704F"/>
    <w:rsid w:val="428D116E"/>
    <w:rsid w:val="43BB3636"/>
    <w:rsid w:val="45A51959"/>
    <w:rsid w:val="45FA55FE"/>
    <w:rsid w:val="46B364C8"/>
    <w:rsid w:val="46E3795B"/>
    <w:rsid w:val="48F826E7"/>
    <w:rsid w:val="49345392"/>
    <w:rsid w:val="4A1F5646"/>
    <w:rsid w:val="4B8975B2"/>
    <w:rsid w:val="4ECD7412"/>
    <w:rsid w:val="500275DA"/>
    <w:rsid w:val="50F62FBD"/>
    <w:rsid w:val="52180606"/>
    <w:rsid w:val="526604E0"/>
    <w:rsid w:val="52993DEF"/>
    <w:rsid w:val="529B566D"/>
    <w:rsid w:val="532A22C7"/>
    <w:rsid w:val="543547EF"/>
    <w:rsid w:val="552D1BAB"/>
    <w:rsid w:val="559D602D"/>
    <w:rsid w:val="55D66A6B"/>
    <w:rsid w:val="57CC7E84"/>
    <w:rsid w:val="583E7F72"/>
    <w:rsid w:val="59884E0A"/>
    <w:rsid w:val="5A194862"/>
    <w:rsid w:val="5D0A7561"/>
    <w:rsid w:val="5D343566"/>
    <w:rsid w:val="5E296E60"/>
    <w:rsid w:val="5E6F580E"/>
    <w:rsid w:val="5ED435AC"/>
    <w:rsid w:val="603D12B9"/>
    <w:rsid w:val="62ED257E"/>
    <w:rsid w:val="63C62B51"/>
    <w:rsid w:val="65565E19"/>
    <w:rsid w:val="65A64160"/>
    <w:rsid w:val="65EB2F60"/>
    <w:rsid w:val="66514687"/>
    <w:rsid w:val="67056AD3"/>
    <w:rsid w:val="67874D98"/>
    <w:rsid w:val="679C0FB2"/>
    <w:rsid w:val="680234B4"/>
    <w:rsid w:val="689733B3"/>
    <w:rsid w:val="68C760BD"/>
    <w:rsid w:val="6D9B7D04"/>
    <w:rsid w:val="6DC75EB6"/>
    <w:rsid w:val="6F7B0FFB"/>
    <w:rsid w:val="7040238E"/>
    <w:rsid w:val="709C5C1A"/>
    <w:rsid w:val="71824BDB"/>
    <w:rsid w:val="71A75BDC"/>
    <w:rsid w:val="72A27B19"/>
    <w:rsid w:val="73BB7034"/>
    <w:rsid w:val="74FD28CA"/>
    <w:rsid w:val="760D747D"/>
    <w:rsid w:val="7638350A"/>
    <w:rsid w:val="777071C9"/>
    <w:rsid w:val="77C7276E"/>
    <w:rsid w:val="7808181D"/>
    <w:rsid w:val="78FB2219"/>
    <w:rsid w:val="794B715D"/>
    <w:rsid w:val="7968676E"/>
    <w:rsid w:val="799D05BD"/>
    <w:rsid w:val="79AE27CB"/>
    <w:rsid w:val="7AF25FDB"/>
    <w:rsid w:val="7B4536DC"/>
    <w:rsid w:val="7DB75B22"/>
    <w:rsid w:val="7EC83189"/>
    <w:rsid w:val="7ED2356E"/>
    <w:rsid w:val="7EE0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semiHidden/>
    <w:unhideWhenUsed/>
    <w:qFormat/>
    <w:uiPriority w:val="0"/>
    <w:pPr>
      <w:keepNext/>
      <w:keepLines/>
      <w:spacing w:line="360" w:lineRule="auto"/>
      <w:outlineLvl w:val="2"/>
    </w:pPr>
    <w:rPr>
      <w:b/>
      <w:bCs/>
      <w:sz w:val="24"/>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rPr>
      <w:lang w:val="zh-CN"/>
    </w:rPr>
  </w:style>
  <w:style w:type="paragraph" w:styleId="5">
    <w:name w:val="annotation text"/>
    <w:basedOn w:val="1"/>
    <w:link w:val="29"/>
    <w:qFormat/>
    <w:uiPriority w:val="0"/>
    <w:pPr>
      <w:jc w:val="left"/>
    </w:pPr>
  </w:style>
  <w:style w:type="paragraph" w:styleId="6">
    <w:name w:val="Balloon Text"/>
    <w:basedOn w:val="1"/>
    <w:link w:val="28"/>
    <w:qFormat/>
    <w:uiPriority w:val="0"/>
    <w:rPr>
      <w:sz w:val="18"/>
      <w:szCs w:val="18"/>
    </w:rPr>
  </w:style>
  <w:style w:type="paragraph" w:styleId="7">
    <w:name w:val="footer"/>
    <w:basedOn w:val="1"/>
    <w:link w:val="27"/>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30"/>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666666"/>
      <w:u w:val="single"/>
    </w:rPr>
  </w:style>
  <w:style w:type="character" w:styleId="14">
    <w:name w:val="HTML Definition"/>
    <w:basedOn w:val="11"/>
    <w:qFormat/>
    <w:uiPriority w:val="0"/>
    <w:rPr>
      <w:i/>
    </w:rPr>
  </w:style>
  <w:style w:type="character" w:styleId="15">
    <w:name w:val="Hyperlink"/>
    <w:basedOn w:val="11"/>
    <w:qFormat/>
    <w:uiPriority w:val="0"/>
    <w:rPr>
      <w:color w:val="666666"/>
      <w:u w:val="single"/>
    </w:rPr>
  </w:style>
  <w:style w:type="character" w:styleId="16">
    <w:name w:val="HTML Code"/>
    <w:basedOn w:val="11"/>
    <w:qFormat/>
    <w:uiPriority w:val="0"/>
    <w:rPr>
      <w:rFonts w:hint="default" w:ascii="Consolas" w:hAnsi="Consolas" w:eastAsia="Consolas" w:cs="Consolas"/>
      <w:color w:val="C7254E"/>
      <w:sz w:val="21"/>
      <w:szCs w:val="21"/>
      <w:shd w:val="clear" w:color="auto" w:fill="F9F2F4"/>
    </w:rPr>
  </w:style>
  <w:style w:type="character" w:styleId="17">
    <w:name w:val="annotation reference"/>
    <w:basedOn w:val="11"/>
    <w:uiPriority w:val="0"/>
    <w:rPr>
      <w:sz w:val="21"/>
      <w:szCs w:val="21"/>
    </w:rPr>
  </w:style>
  <w:style w:type="character" w:styleId="18">
    <w:name w:val="HTML Keyboard"/>
    <w:basedOn w:val="11"/>
    <w:qFormat/>
    <w:uiPriority w:val="0"/>
    <w:rPr>
      <w:rFonts w:ascii="Consolas" w:hAnsi="Consolas" w:eastAsia="Consolas" w:cs="Consolas"/>
      <w:color w:val="FFFFFF"/>
      <w:sz w:val="21"/>
      <w:szCs w:val="21"/>
      <w:shd w:val="clear" w:color="auto"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hour_am"/>
    <w:basedOn w:val="11"/>
    <w:qFormat/>
    <w:uiPriority w:val="0"/>
  </w:style>
  <w:style w:type="character" w:customStyle="1" w:styleId="21">
    <w:name w:val="old"/>
    <w:basedOn w:val="11"/>
    <w:qFormat/>
    <w:uiPriority w:val="0"/>
    <w:rPr>
      <w:color w:val="999999"/>
    </w:rPr>
  </w:style>
  <w:style w:type="character" w:customStyle="1" w:styleId="22">
    <w:name w:val="hover8"/>
    <w:basedOn w:val="11"/>
    <w:qFormat/>
    <w:uiPriority w:val="0"/>
    <w:rPr>
      <w:shd w:val="clear" w:color="auto" w:fill="EEEEEE"/>
    </w:rPr>
  </w:style>
  <w:style w:type="character" w:customStyle="1" w:styleId="23">
    <w:name w:val="glyphicon"/>
    <w:basedOn w:val="11"/>
    <w:qFormat/>
    <w:uiPriority w:val="0"/>
  </w:style>
  <w:style w:type="character" w:customStyle="1" w:styleId="24">
    <w:name w:val="hour_pm"/>
    <w:basedOn w:val="11"/>
    <w:qFormat/>
    <w:uiPriority w:val="0"/>
  </w:style>
  <w:style w:type="character" w:customStyle="1" w:styleId="25">
    <w:name w:val="glyphicon2"/>
    <w:basedOn w:val="11"/>
    <w:qFormat/>
    <w:uiPriority w:val="0"/>
  </w:style>
  <w:style w:type="character" w:customStyle="1" w:styleId="26">
    <w:name w:val="页眉 字符"/>
    <w:basedOn w:val="11"/>
    <w:link w:val="8"/>
    <w:qFormat/>
    <w:uiPriority w:val="0"/>
    <w:rPr>
      <w:rFonts w:asciiTheme="minorHAnsi" w:hAnsiTheme="minorHAnsi" w:eastAsiaTheme="minorEastAsia" w:cstheme="minorBidi"/>
      <w:kern w:val="2"/>
      <w:sz w:val="18"/>
      <w:szCs w:val="18"/>
    </w:rPr>
  </w:style>
  <w:style w:type="character" w:customStyle="1" w:styleId="27">
    <w:name w:val="页脚 字符"/>
    <w:basedOn w:val="11"/>
    <w:link w:val="7"/>
    <w:qFormat/>
    <w:uiPriority w:val="0"/>
    <w:rPr>
      <w:rFonts w:asciiTheme="minorHAnsi" w:hAnsiTheme="minorHAnsi" w:eastAsiaTheme="minorEastAsia" w:cstheme="minorBidi"/>
      <w:kern w:val="2"/>
      <w:sz w:val="18"/>
      <w:szCs w:val="18"/>
    </w:rPr>
  </w:style>
  <w:style w:type="character" w:customStyle="1" w:styleId="28">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29">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Vanke</Company>
  <Pages>6</Pages>
  <Words>1939</Words>
  <Characters>2150</Characters>
  <Lines>15</Lines>
  <Paragraphs>4</Paragraphs>
  <TotalTime>36</TotalTime>
  <ScaleCrop>false</ScaleCrop>
  <LinksUpToDate>false</LinksUpToDate>
  <CharactersWithSpaces>2172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2023-06-26T03:55:00Z</dcterms:created>
  <dc:creator>HP</dc:creator>
  <cp:lastModifiedBy>觞人</cp:lastModifiedBy>
  <dcterms:modified xsi:type="dcterms:W3CDTF">2023-06-28T11:26:03Z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612FDB8E79C2482ABA353753B62D0993_13</vt:lpwstr>
  </property>
  <property fmtid="{D5CDD505-2E9C-101B-9397-08002B2CF9AE}" pid="4" name="_IPGFID">
    <vt:lpwstr>[DocID]=978FF9BE-7BB1-4A9F-8538-1ECEAA53F4B1</vt:lpwstr>
  </property>
  <property fmtid="{D5CDD505-2E9C-101B-9397-08002B2CF9AE}" pid="5" name="_IPGFLOW_P-B5B0_E-1_FP-1_SP-1_CV-F0168E8C_CN-27B0E948">
    <vt:lpwstr>6vv3kb778VG0x/7Wfe+eamrRVaggcQHI/fD6doV+BgDZiBnoCDVT/lDlGKaQPS12SWyGy1XWWUBbvHNp3UX4ugj6kgUMOHcpWb+LezTP1NZk3ZVd8XXQwS2NMjJNAct4uax7Vu+KSO8zExzwLd0tjNZ90T9WOsNTU4732nK/SvhNUZoEiZEw1zMKfkAEe94Dpfq0hFSAzOTURG6Cgyj19ZYZqRPu8mKhDTmtxBKTBCX4zViDZtr/d9eCstwDu6c</vt:lpwstr>
  </property>
  <property fmtid="{D5CDD505-2E9C-101B-9397-08002B2CF9AE}" pid="6" name="_IPGFLOW_P-B5B0_E-1_FP-1_SP-2_CV-5D11CA85_CN-10F36095">
    <vt:lpwstr>4lWS4GZ27kStCwX2GJhR5wyGNGh6k59rGFHvkyuoWbUm8HiJ4MYpCpwkCzERjdXpCF0GOOGi3CNhXtYZ7Zn0iYAcpC2i0YIApSUTcsdakUDXd4igMLPXiBv6vaOef8csuNAGhrFWf+CzakdGU4TGRT3s0mUcwBINHj1f6mkgejyMJ+ye9cRuEDJBGBYmgy1wX</vt:lpwstr>
  </property>
  <property fmtid="{D5CDD505-2E9C-101B-9397-08002B2CF9AE}" pid="7" name="_IPGFLOW_P-B5B0_E-0_FP-1_CV-60DDE677_CN-8045E800">
    <vt:lpwstr>DPSPMK|3|448|2|0</vt:lpwstr>
  </property>
  <property fmtid="{D5CDD505-2E9C-101B-9397-08002B2CF9AE}" pid="8" name="_IPGFLOW_P-B5B0_E-0_CV-8A14B2B5_CN-33B697BE">
    <vt:lpwstr>DPFPMK|3|50|2|0</vt:lpwstr>
  </property>
  <property fmtid="{D5CDD505-2E9C-101B-9397-08002B2CF9AE}" pid="9" name="_IPGFLOW_P-B5B0_E-1_FP-2_SP-1_CV-AA71D7CB_CN-24C5EA10">
    <vt:lpwstr>6vv3kb778VG0x/7Wfe+eauY6E6sNRci2IrDI828h6i5UeCW0TWY5V8vdNXlGQhlPRqJsFUmkYekzKyYL99TXcTNXwuFF9N71OqDGarVR2jPa4eqe5roRvJHUWGHOydYHiJDZsSxAfS/HmDDATxqy87Pp2qHLxl9P/qmsXO3ihtXHmfPoOaURfXRPXq1Y2g98bqGRELcp4fKVDuPwi3jvtDBaRNop+Mwp3/LNVVf6P0Bw4JCX2aF5eD4GVemMs3Y</vt:lpwstr>
  </property>
  <property fmtid="{D5CDD505-2E9C-101B-9397-08002B2CF9AE}" pid="10" name="_IPGFLOW_P-B5B0_E-1_FP-2_SP-2_CV-37F71ED8_CN-43F93C93">
    <vt:lpwstr>wVNwXrcjfv58boa+wzkaIkn6AfA/BY+nsFxIkUQoaTjMssxzLmZ/imONPDDCjcg7ejcQHuyNE0yJbIIr9LXk6nF8ipJD34XjjrLggIxG74b9PPW4ZEBu/44dd62DgmnNOeanNn5mCTaW0RHidnNLeu5CkGdoxhgUlmb6a45rClK/NN5Fhlgnym4vT3y3aqR9c</vt:lpwstr>
  </property>
  <property fmtid="{D5CDD505-2E9C-101B-9397-08002B2CF9AE}" pid="11" name="_IPGFLOW_P-B5B0_E-0_FP-2_CV-60DDE677_CN-3D8F84CE">
    <vt:lpwstr>DPSPMK|3|448|2|0</vt:lpwstr>
  </property>
  <property fmtid="{D5CDD505-2E9C-101B-9397-08002B2CF9AE}" pid="12" name="_IPGLAB_P-B5B0_E-1_CV-6B65C887_CN-A0CE1330">
    <vt:lpwstr>EKHOjEEXKtERD5/VIpbkL1uLutJQoGbcIIT9af5C8hL19M8eela6/uNgMxxcwQ0o</vt:lpwstr>
  </property>
</Properties>
</file>