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A4DF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仿宋_GB2312" w:hAnsi="黑体" w:eastAsia="仿宋_GB2312" w:cs="Times New Roman"/>
          <w:b/>
          <w:bCs/>
          <w:kern w:val="0"/>
          <w:sz w:val="32"/>
          <w:szCs w:val="32"/>
          <w:highlight w:val="none"/>
          <w:lang w:val="en-US" w:eastAsia="zh-CN"/>
        </w:rPr>
      </w:pPr>
      <w:r>
        <w:rPr>
          <w:rFonts w:hint="eastAsia" w:ascii="仿宋_GB2312" w:hAnsi="黑体" w:eastAsia="仿宋_GB2312" w:cs="Times New Roman"/>
          <w:b/>
          <w:bCs/>
          <w:kern w:val="0"/>
          <w:sz w:val="32"/>
          <w:szCs w:val="32"/>
          <w:highlight w:val="none"/>
          <w:lang w:val="en-US" w:eastAsia="zh-CN"/>
        </w:rPr>
        <w:t>成都轨道城市投资集团有限公司2025-2026年度TOD综合开发项目墙纸集中采购/标段资格预审</w:t>
      </w:r>
    </w:p>
    <w:p w14:paraId="3855036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仿宋_GB2312" w:hAnsi="黑体" w:eastAsia="仿宋_GB2312" w:cs="Times New Roman"/>
          <w:b/>
          <w:bCs/>
          <w:kern w:val="0"/>
          <w:sz w:val="32"/>
          <w:szCs w:val="32"/>
          <w:highlight w:val="none"/>
          <w:lang w:val="en-US" w:eastAsia="zh-CN"/>
        </w:rPr>
      </w:pPr>
      <w:r>
        <w:rPr>
          <w:rFonts w:hint="eastAsia" w:ascii="仿宋_GB2312" w:hAnsi="黑体" w:eastAsia="仿宋_GB2312" w:cs="Times New Roman"/>
          <w:b/>
          <w:bCs/>
          <w:kern w:val="0"/>
          <w:sz w:val="32"/>
          <w:szCs w:val="32"/>
          <w:highlight w:val="none"/>
          <w:lang w:val="en-US" w:eastAsia="zh-CN"/>
        </w:rPr>
        <w:t>补遗文件</w:t>
      </w:r>
    </w:p>
    <w:p w14:paraId="12561F2C">
      <w:pPr>
        <w:numPr>
          <w:ilvl w:val="0"/>
          <w:numId w:val="0"/>
        </w:numPr>
        <w:spacing w:line="360" w:lineRule="auto"/>
        <w:ind w:firstLine="640" w:firstLineChars="200"/>
        <w:rPr>
          <w:rFonts w:hint="eastAsia" w:ascii="仿宋_GB2312" w:hAnsi="黑体" w:eastAsia="仿宋_GB2312" w:cs="Times New Roman"/>
          <w:kern w:val="0"/>
          <w:sz w:val="32"/>
          <w:szCs w:val="32"/>
          <w:highlight w:val="none"/>
          <w:lang w:val="en-US" w:eastAsia="zh-CN"/>
        </w:rPr>
      </w:pPr>
      <w:r>
        <w:rPr>
          <w:rFonts w:hint="eastAsia" w:ascii="仿宋_GB2312" w:hAnsi="黑体" w:eastAsia="仿宋_GB2312" w:cs="Times New Roman"/>
          <w:kern w:val="0"/>
          <w:sz w:val="32"/>
          <w:szCs w:val="32"/>
          <w:highlight w:val="none"/>
          <w:lang w:val="en-US" w:eastAsia="zh-CN"/>
        </w:rPr>
        <w:t>此内容作为资格预审文件不可分割的组成部分，与资格预审文件具有同等约束力，请申请人照此执行。</w:t>
      </w:r>
    </w:p>
    <w:p w14:paraId="007C67A7">
      <w:pPr>
        <w:pStyle w:val="2"/>
        <w:rPr>
          <w:rFonts w:hint="eastAsia" w:ascii="仿宋_GB2312" w:hAnsi="黑体" w:eastAsia="仿宋_GB2312" w:cs="Times New Roman"/>
          <w:kern w:val="0"/>
          <w:sz w:val="32"/>
          <w:szCs w:val="32"/>
          <w:highlight w:val="none"/>
          <w:lang w:val="en-US" w:eastAsia="zh-CN"/>
        </w:rPr>
      </w:pPr>
    </w:p>
    <w:p w14:paraId="7952A8E9">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textAlignment w:val="auto"/>
        <w:rPr>
          <w:rFonts w:hint="eastAsia" w:ascii="仿宋_GB2312" w:hAnsi="黑体" w:eastAsia="仿宋_GB2312" w:cs="Times New Roman"/>
          <w:kern w:val="0"/>
          <w:sz w:val="32"/>
          <w:szCs w:val="32"/>
          <w:highlight w:val="none"/>
          <w:lang w:val="en-US" w:eastAsia="zh-CN"/>
        </w:rPr>
      </w:pPr>
      <w:r>
        <w:rPr>
          <w:rFonts w:hint="eastAsia" w:ascii="仿宋_GB2312" w:hAnsi="黑体" w:eastAsia="仿宋_GB2312" w:cs="Times New Roman"/>
          <w:kern w:val="0"/>
          <w:sz w:val="32"/>
          <w:szCs w:val="32"/>
          <w:highlight w:val="none"/>
          <w:lang w:val="en-US" w:eastAsia="zh-CN"/>
        </w:rPr>
        <w:t>致各潜在申请人：</w:t>
      </w:r>
    </w:p>
    <w:p w14:paraId="3231E07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firstLine="640" w:firstLineChars="200"/>
        <w:textAlignment w:val="auto"/>
        <w:rPr>
          <w:rFonts w:hint="eastAsia" w:ascii="仿宋_GB2312" w:hAnsi="黑体" w:eastAsia="仿宋_GB2312" w:cs="Times New Roman"/>
          <w:kern w:val="0"/>
          <w:sz w:val="32"/>
          <w:szCs w:val="32"/>
          <w:highlight w:val="none"/>
          <w:lang w:val="en-US" w:eastAsia="zh-CN"/>
        </w:rPr>
      </w:pPr>
      <w:r>
        <w:rPr>
          <w:rFonts w:hint="eastAsia" w:ascii="仿宋_GB2312" w:hAnsi="黑体" w:eastAsia="仿宋_GB2312" w:cs="Times New Roman"/>
          <w:kern w:val="0"/>
          <w:sz w:val="32"/>
          <w:szCs w:val="32"/>
          <w:highlight w:val="none"/>
          <w:lang w:val="en-US" w:eastAsia="zh-CN"/>
        </w:rPr>
        <w:t>现对本项目成都轨道城市投资集团有限公司2025-2026年度TOD综合开发项目墙纸集中采购/标段资格预审文件进行补遗，内容如下：</w:t>
      </w:r>
    </w:p>
    <w:p w14:paraId="799A8F39">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firstLine="640" w:firstLineChars="200"/>
        <w:textAlignment w:val="auto"/>
        <w:rPr>
          <w:rFonts w:hint="eastAsia" w:ascii="仿宋_GB2312" w:hAnsi="黑体" w:eastAsia="仿宋_GB2312" w:cs="Times New Roman"/>
          <w:kern w:val="0"/>
          <w:sz w:val="32"/>
          <w:szCs w:val="32"/>
          <w:highlight w:val="none"/>
          <w:lang w:val="en-US" w:eastAsia="zh-CN"/>
        </w:rPr>
      </w:pPr>
      <w:r>
        <w:rPr>
          <w:rFonts w:hint="eastAsia" w:ascii="仿宋_GB2312" w:hAnsi="黑体" w:eastAsia="仿宋_GB2312" w:cs="Times New Roman"/>
          <w:kern w:val="0"/>
          <w:sz w:val="32"/>
          <w:szCs w:val="32"/>
          <w:highlight w:val="none"/>
          <w:lang w:val="en-US" w:eastAsia="zh-CN"/>
        </w:rPr>
        <w:t>资格预审文件第四章第六部分《资格预审自评情况表》做如下调整：</w:t>
      </w:r>
    </w:p>
    <w:tbl>
      <w:tblPr>
        <w:tblStyle w:val="6"/>
        <w:tblW w:w="5000" w:type="pct"/>
        <w:tblInd w:w="0" w:type="dxa"/>
        <w:tblLayout w:type="autofit"/>
        <w:tblCellMar>
          <w:top w:w="0" w:type="dxa"/>
          <w:left w:w="108" w:type="dxa"/>
          <w:bottom w:w="0" w:type="dxa"/>
          <w:right w:w="108" w:type="dxa"/>
        </w:tblCellMar>
      </w:tblPr>
      <w:tblGrid>
        <w:gridCol w:w="458"/>
        <w:gridCol w:w="1539"/>
        <w:gridCol w:w="3201"/>
        <w:gridCol w:w="1110"/>
        <w:gridCol w:w="1108"/>
        <w:gridCol w:w="1106"/>
      </w:tblGrid>
      <w:tr w14:paraId="51432DF1">
        <w:tblPrEx>
          <w:tblCellMar>
            <w:top w:w="0" w:type="dxa"/>
            <w:left w:w="108" w:type="dxa"/>
            <w:bottom w:w="0" w:type="dxa"/>
            <w:right w:w="108" w:type="dxa"/>
          </w:tblCellMar>
        </w:tblPrEx>
        <w:trPr>
          <w:trHeight w:val="276" w:hRule="atLeast"/>
        </w:trPr>
        <w:tc>
          <w:tcPr>
            <w:tcW w:w="269" w:type="pct"/>
            <w:tcBorders>
              <w:top w:val="single" w:color="auto" w:sz="4" w:space="0"/>
              <w:left w:val="single" w:color="auto" w:sz="4" w:space="0"/>
              <w:bottom w:val="single" w:color="auto" w:sz="4" w:space="0"/>
              <w:right w:val="single" w:color="auto" w:sz="4" w:space="0"/>
            </w:tcBorders>
            <w:noWrap w:val="0"/>
            <w:vAlign w:val="center"/>
          </w:tcPr>
          <w:p w14:paraId="07775F75">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903" w:type="pct"/>
            <w:tcBorders>
              <w:top w:val="single" w:color="auto" w:sz="4" w:space="0"/>
              <w:left w:val="single" w:color="auto" w:sz="4" w:space="0"/>
              <w:bottom w:val="single" w:color="auto" w:sz="4" w:space="0"/>
              <w:right w:val="single" w:color="auto" w:sz="4" w:space="0"/>
            </w:tcBorders>
            <w:noWrap w:val="0"/>
            <w:vAlign w:val="center"/>
          </w:tcPr>
          <w:p w14:paraId="3C1B9DBE">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评分因素</w:t>
            </w:r>
          </w:p>
        </w:tc>
        <w:tc>
          <w:tcPr>
            <w:tcW w:w="1878" w:type="pct"/>
            <w:tcBorders>
              <w:top w:val="single" w:color="auto" w:sz="4" w:space="0"/>
              <w:left w:val="nil"/>
              <w:bottom w:val="single" w:color="auto" w:sz="4" w:space="0"/>
              <w:right w:val="single" w:color="auto" w:sz="4" w:space="0"/>
            </w:tcBorders>
            <w:noWrap w:val="0"/>
            <w:vAlign w:val="center"/>
          </w:tcPr>
          <w:p w14:paraId="4557EEC0">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评分细则</w:t>
            </w:r>
          </w:p>
        </w:tc>
        <w:tc>
          <w:tcPr>
            <w:tcW w:w="651" w:type="pct"/>
            <w:tcBorders>
              <w:top w:val="single" w:color="auto" w:sz="4" w:space="0"/>
              <w:left w:val="nil"/>
              <w:bottom w:val="single" w:color="auto" w:sz="4" w:space="0"/>
              <w:right w:val="single" w:color="auto" w:sz="4" w:space="0"/>
            </w:tcBorders>
            <w:noWrap w:val="0"/>
            <w:vAlign w:val="center"/>
          </w:tcPr>
          <w:p w14:paraId="528A7E85">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分值</w:t>
            </w:r>
          </w:p>
        </w:tc>
        <w:tc>
          <w:tcPr>
            <w:tcW w:w="650" w:type="pct"/>
            <w:tcBorders>
              <w:top w:val="single" w:color="auto" w:sz="4" w:space="0"/>
              <w:left w:val="nil"/>
              <w:bottom w:val="single" w:color="auto" w:sz="4" w:space="0"/>
              <w:right w:val="single" w:color="auto" w:sz="4" w:space="0"/>
            </w:tcBorders>
            <w:noWrap w:val="0"/>
            <w:vAlign w:val="center"/>
          </w:tcPr>
          <w:p w14:paraId="3AF456E7">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SA"/>
              </w:rPr>
              <w:t>评分指标情况</w:t>
            </w:r>
          </w:p>
        </w:tc>
        <w:tc>
          <w:tcPr>
            <w:tcW w:w="649" w:type="pct"/>
            <w:tcBorders>
              <w:top w:val="single" w:color="auto" w:sz="4" w:space="0"/>
              <w:left w:val="nil"/>
              <w:bottom w:val="single" w:color="auto" w:sz="4" w:space="0"/>
              <w:right w:val="single" w:color="auto" w:sz="4" w:space="0"/>
            </w:tcBorders>
            <w:noWrap w:val="0"/>
            <w:vAlign w:val="center"/>
          </w:tcPr>
          <w:p w14:paraId="1558A700">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SA"/>
              </w:rPr>
              <w:t>自评证明资料页码</w:t>
            </w:r>
          </w:p>
        </w:tc>
      </w:tr>
      <w:tr w14:paraId="61908B81">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5AA27F3B">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510B8DA">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color w:val="auto"/>
                <w:kern w:val="0"/>
                <w:sz w:val="22"/>
                <w:szCs w:val="22"/>
                <w:highlight w:val="none"/>
                <w:lang w:val="en-US" w:eastAsia="zh-CN" w:bidi="ar-SA"/>
              </w:rPr>
              <w:t>（同第三章</w:t>
            </w:r>
            <w:r>
              <w:rPr>
                <w:rFonts w:hint="eastAsia" w:ascii="宋体" w:hAnsi="宋体" w:eastAsia="宋体" w:cs="宋体"/>
                <w:color w:val="auto"/>
                <w:kern w:val="0"/>
                <w:sz w:val="22"/>
                <w:szCs w:val="22"/>
                <w:highlight w:val="none"/>
                <w:lang w:val="en-US" w:eastAsia="en-US" w:bidi="ar-SA"/>
              </w:rPr>
              <w:t>资格审查办法</w:t>
            </w:r>
            <w:r>
              <w:rPr>
                <w:rFonts w:hint="eastAsia" w:ascii="宋体" w:hAnsi="宋体" w:eastAsia="宋体" w:cs="宋体"/>
                <w:color w:val="auto"/>
                <w:kern w:val="0"/>
                <w:sz w:val="22"/>
                <w:szCs w:val="22"/>
                <w:highlight w:val="none"/>
                <w:lang w:val="en-US" w:eastAsia="zh-CN" w:bidi="ar-SA"/>
              </w:rPr>
              <w:t>）</w:t>
            </w:r>
          </w:p>
        </w:tc>
        <w:tc>
          <w:tcPr>
            <w:tcW w:w="3489" w:type="dxa"/>
            <w:tcBorders>
              <w:top w:val="nil"/>
              <w:left w:val="nil"/>
              <w:bottom w:val="single" w:color="auto" w:sz="4" w:space="0"/>
              <w:right w:val="single" w:color="auto" w:sz="4" w:space="0"/>
            </w:tcBorders>
            <w:noWrap w:val="0"/>
            <w:vAlign w:val="center"/>
          </w:tcPr>
          <w:p w14:paraId="1891DFE6">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color w:val="auto"/>
                <w:kern w:val="0"/>
                <w:sz w:val="22"/>
                <w:szCs w:val="22"/>
                <w:highlight w:val="none"/>
                <w:lang w:val="en-US" w:eastAsia="zh-CN" w:bidi="ar-SA"/>
              </w:rPr>
              <w:t>（同第三章</w:t>
            </w:r>
            <w:r>
              <w:rPr>
                <w:rFonts w:hint="eastAsia" w:ascii="宋体" w:hAnsi="宋体" w:eastAsia="宋体" w:cs="宋体"/>
                <w:color w:val="auto"/>
                <w:kern w:val="0"/>
                <w:sz w:val="22"/>
                <w:szCs w:val="22"/>
                <w:highlight w:val="none"/>
                <w:lang w:val="en-US" w:eastAsia="en-US" w:bidi="ar-SA"/>
              </w:rPr>
              <w:t>资格审查办法</w:t>
            </w:r>
            <w:r>
              <w:rPr>
                <w:rFonts w:hint="eastAsia" w:ascii="宋体" w:hAnsi="宋体" w:eastAsia="宋体" w:cs="宋体"/>
                <w:color w:val="auto"/>
                <w:kern w:val="0"/>
                <w:sz w:val="22"/>
                <w:szCs w:val="22"/>
                <w:highlight w:val="none"/>
                <w:lang w:val="en-US" w:eastAsia="zh-CN" w:bidi="ar-SA"/>
              </w:rPr>
              <w:t>）</w:t>
            </w:r>
          </w:p>
        </w:tc>
        <w:tc>
          <w:tcPr>
            <w:tcW w:w="1209" w:type="dxa"/>
            <w:tcBorders>
              <w:top w:val="nil"/>
              <w:left w:val="nil"/>
              <w:bottom w:val="single" w:color="auto" w:sz="4" w:space="0"/>
              <w:right w:val="single" w:color="auto" w:sz="4" w:space="0"/>
            </w:tcBorders>
            <w:noWrap w:val="0"/>
            <w:vAlign w:val="center"/>
          </w:tcPr>
          <w:p w14:paraId="63F8B905">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72013881">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w:t>
            </w:r>
          </w:p>
        </w:tc>
        <w:tc>
          <w:tcPr>
            <w:tcW w:w="649" w:type="pct"/>
            <w:tcBorders>
              <w:top w:val="nil"/>
              <w:left w:val="nil"/>
              <w:bottom w:val="single" w:color="auto" w:sz="4" w:space="0"/>
              <w:right w:val="single" w:color="auto" w:sz="4" w:space="0"/>
            </w:tcBorders>
            <w:noWrap w:val="0"/>
            <w:vAlign w:val="center"/>
          </w:tcPr>
          <w:p w14:paraId="03EE7759">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w:t>
            </w:r>
          </w:p>
        </w:tc>
      </w:tr>
      <w:tr w14:paraId="2668FEE5">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6F0033B9">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A7B65CF">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236CCA97">
            <w:pPr>
              <w:pStyle w:val="31"/>
              <w:widowControl w:val="0"/>
              <w:spacing w:after="120"/>
              <w:jc w:val="both"/>
              <w:rPr>
                <w:rFonts w:hint="eastAsia" w:ascii="宋体" w:hAnsi="宋体" w:eastAsia="宋体" w:cs="宋体"/>
                <w:kern w:val="0"/>
                <w:sz w:val="21"/>
                <w:szCs w:val="21"/>
                <w:lang w:val="zh-CN" w:eastAsia="zh-CN" w:bidi="ar-SA"/>
              </w:rPr>
            </w:pPr>
          </w:p>
        </w:tc>
        <w:tc>
          <w:tcPr>
            <w:tcW w:w="1209" w:type="dxa"/>
            <w:tcBorders>
              <w:top w:val="nil"/>
              <w:left w:val="nil"/>
              <w:bottom w:val="single" w:color="auto" w:sz="4" w:space="0"/>
              <w:right w:val="single" w:color="auto" w:sz="4" w:space="0"/>
            </w:tcBorders>
            <w:noWrap w:val="0"/>
            <w:vAlign w:val="center"/>
          </w:tcPr>
          <w:p w14:paraId="7B34CB6E">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11811E33">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456455EB">
            <w:pPr>
              <w:pStyle w:val="28"/>
              <w:widowControl/>
              <w:jc w:val="right"/>
              <w:rPr>
                <w:rFonts w:hint="eastAsia" w:ascii="宋体" w:hAnsi="宋体" w:eastAsia="宋体" w:cs="宋体"/>
                <w:kern w:val="0"/>
                <w:sz w:val="21"/>
                <w:szCs w:val="21"/>
                <w:lang w:val="en-US" w:eastAsia="zh-CN" w:bidi="ar-SA"/>
              </w:rPr>
            </w:pPr>
          </w:p>
        </w:tc>
      </w:tr>
      <w:tr w14:paraId="37D05988">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12E6BC20">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618DF305">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091C5781">
            <w:pPr>
              <w:pStyle w:val="28"/>
              <w:widowControl/>
              <w:jc w:val="both"/>
              <w:rPr>
                <w:rFonts w:hint="eastAsia" w:ascii="宋体" w:hAnsi="宋体" w:eastAsia="宋体" w:cs="宋体"/>
                <w:kern w:val="0"/>
                <w:sz w:val="21"/>
                <w:szCs w:val="21"/>
                <w:lang w:val="en-US" w:eastAsia="zh-CN" w:bidi="ar-SA"/>
              </w:rPr>
            </w:pPr>
          </w:p>
        </w:tc>
        <w:tc>
          <w:tcPr>
            <w:tcW w:w="1209" w:type="dxa"/>
            <w:tcBorders>
              <w:top w:val="nil"/>
              <w:left w:val="nil"/>
              <w:bottom w:val="single" w:color="auto" w:sz="4" w:space="0"/>
              <w:right w:val="single" w:color="auto" w:sz="4" w:space="0"/>
            </w:tcBorders>
            <w:noWrap w:val="0"/>
            <w:vAlign w:val="center"/>
          </w:tcPr>
          <w:p w14:paraId="51FA5146">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7EF52F19">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1D62EA4C">
            <w:pPr>
              <w:pStyle w:val="28"/>
              <w:widowControl/>
              <w:jc w:val="right"/>
              <w:rPr>
                <w:rFonts w:hint="eastAsia" w:ascii="宋体" w:hAnsi="宋体" w:eastAsia="宋体" w:cs="宋体"/>
                <w:kern w:val="0"/>
                <w:sz w:val="21"/>
                <w:szCs w:val="21"/>
                <w:lang w:val="en-US" w:eastAsia="zh-CN" w:bidi="ar-SA"/>
              </w:rPr>
            </w:pPr>
          </w:p>
        </w:tc>
      </w:tr>
      <w:tr w14:paraId="73E6F67E">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7C025F08">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2A091C11">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61EECF56">
            <w:pPr>
              <w:pStyle w:val="28"/>
              <w:widowControl w:val="0"/>
              <w:jc w:val="both"/>
              <w:rPr>
                <w:rFonts w:hint="eastAsia" w:ascii="宋体" w:hAnsi="宋体" w:eastAsia="宋体" w:cs="宋体"/>
                <w:kern w:val="0"/>
                <w:sz w:val="21"/>
                <w:szCs w:val="21"/>
                <w:lang w:val="en-US" w:eastAsia="zh-CN" w:bidi="ar-SA"/>
              </w:rPr>
            </w:pPr>
          </w:p>
        </w:tc>
        <w:tc>
          <w:tcPr>
            <w:tcW w:w="1209" w:type="dxa"/>
            <w:tcBorders>
              <w:top w:val="nil"/>
              <w:left w:val="nil"/>
              <w:bottom w:val="single" w:color="auto" w:sz="4" w:space="0"/>
              <w:right w:val="single" w:color="auto" w:sz="4" w:space="0"/>
            </w:tcBorders>
            <w:noWrap w:val="0"/>
            <w:vAlign w:val="center"/>
          </w:tcPr>
          <w:p w14:paraId="37DE213E">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08F5366D">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0A73D3AA">
            <w:pPr>
              <w:pStyle w:val="28"/>
              <w:widowControl/>
              <w:jc w:val="right"/>
              <w:rPr>
                <w:rFonts w:hint="eastAsia" w:ascii="宋体" w:hAnsi="宋体" w:eastAsia="宋体" w:cs="宋体"/>
                <w:kern w:val="0"/>
                <w:sz w:val="21"/>
                <w:szCs w:val="21"/>
                <w:lang w:val="en-US" w:eastAsia="zh-CN" w:bidi="ar-SA"/>
              </w:rPr>
            </w:pPr>
          </w:p>
        </w:tc>
      </w:tr>
      <w:tr w14:paraId="7DBE1179">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1CB6340F">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54D0012D">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1333686A">
            <w:pPr>
              <w:pStyle w:val="28"/>
              <w:widowControl/>
              <w:jc w:val="both"/>
              <w:rPr>
                <w:rFonts w:hint="eastAsia" w:ascii="宋体" w:hAnsi="宋体" w:eastAsia="宋体" w:cs="宋体"/>
                <w:kern w:val="0"/>
                <w:sz w:val="21"/>
                <w:szCs w:val="21"/>
                <w:lang w:val="en-US" w:eastAsia="zh-CN" w:bidi="ar-SA"/>
              </w:rPr>
            </w:pPr>
          </w:p>
        </w:tc>
        <w:tc>
          <w:tcPr>
            <w:tcW w:w="1209" w:type="dxa"/>
            <w:tcBorders>
              <w:top w:val="nil"/>
              <w:left w:val="nil"/>
              <w:bottom w:val="single" w:color="auto" w:sz="4" w:space="0"/>
              <w:right w:val="single" w:color="auto" w:sz="4" w:space="0"/>
            </w:tcBorders>
            <w:noWrap w:val="0"/>
            <w:vAlign w:val="center"/>
          </w:tcPr>
          <w:p w14:paraId="3DD15B54">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2C9405B8">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3022699D">
            <w:pPr>
              <w:pStyle w:val="28"/>
              <w:widowControl/>
              <w:jc w:val="right"/>
              <w:rPr>
                <w:rFonts w:hint="eastAsia" w:ascii="宋体" w:hAnsi="宋体" w:eastAsia="宋体" w:cs="宋体"/>
                <w:kern w:val="0"/>
                <w:sz w:val="21"/>
                <w:szCs w:val="21"/>
                <w:lang w:val="en-US" w:eastAsia="zh-CN" w:bidi="ar-SA"/>
              </w:rPr>
            </w:pPr>
          </w:p>
        </w:tc>
      </w:tr>
      <w:tr w14:paraId="71981440">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1F625DFB">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7F746E4C">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5A601F79">
            <w:pPr>
              <w:pStyle w:val="28"/>
              <w:widowControl/>
              <w:jc w:val="both"/>
              <w:rPr>
                <w:rFonts w:hint="eastAsia" w:ascii="宋体" w:hAnsi="宋体" w:eastAsia="宋体" w:cs="宋体"/>
                <w:kern w:val="0"/>
                <w:sz w:val="21"/>
                <w:szCs w:val="21"/>
                <w:lang w:val="en-US" w:eastAsia="zh-CN" w:bidi="ar-SA"/>
              </w:rPr>
            </w:pPr>
          </w:p>
        </w:tc>
        <w:tc>
          <w:tcPr>
            <w:tcW w:w="1209" w:type="dxa"/>
            <w:tcBorders>
              <w:top w:val="nil"/>
              <w:left w:val="nil"/>
              <w:bottom w:val="single" w:color="auto" w:sz="4" w:space="0"/>
              <w:right w:val="single" w:color="auto" w:sz="4" w:space="0"/>
            </w:tcBorders>
            <w:noWrap w:val="0"/>
            <w:vAlign w:val="center"/>
          </w:tcPr>
          <w:p w14:paraId="5654C7DE">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264BFAD1">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73B59289">
            <w:pPr>
              <w:pStyle w:val="28"/>
              <w:widowControl/>
              <w:jc w:val="right"/>
              <w:rPr>
                <w:rFonts w:hint="eastAsia" w:ascii="宋体" w:hAnsi="宋体" w:eastAsia="宋体" w:cs="宋体"/>
                <w:kern w:val="0"/>
                <w:sz w:val="21"/>
                <w:szCs w:val="21"/>
                <w:lang w:val="en-US" w:eastAsia="zh-CN" w:bidi="ar-SA"/>
              </w:rPr>
            </w:pPr>
          </w:p>
        </w:tc>
      </w:tr>
      <w:tr w14:paraId="323FBFED">
        <w:tblPrEx>
          <w:tblCellMar>
            <w:top w:w="0" w:type="dxa"/>
            <w:left w:w="108" w:type="dxa"/>
            <w:bottom w:w="0" w:type="dxa"/>
            <w:right w:w="108" w:type="dxa"/>
          </w:tblCellMar>
        </w:tblPrEx>
        <w:trPr>
          <w:trHeight w:val="148" w:hRule="atLeast"/>
        </w:trPr>
        <w:tc>
          <w:tcPr>
            <w:tcW w:w="269" w:type="pct"/>
            <w:tcBorders>
              <w:top w:val="nil"/>
              <w:left w:val="single" w:color="auto" w:sz="4" w:space="0"/>
              <w:bottom w:val="single" w:color="auto" w:sz="4" w:space="0"/>
              <w:right w:val="single" w:color="auto" w:sz="4" w:space="0"/>
            </w:tcBorders>
            <w:noWrap w:val="0"/>
            <w:vAlign w:val="center"/>
          </w:tcPr>
          <w:p w14:paraId="4BDF14BF">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7</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5070A9C0">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1DA6E7C3">
            <w:pPr>
              <w:pStyle w:val="32"/>
              <w:widowControl w:val="0"/>
              <w:jc w:val="both"/>
              <w:rPr>
                <w:rFonts w:hint="eastAsia" w:ascii="宋体" w:hAnsi="宋体" w:eastAsia="宋体" w:cs="宋体"/>
                <w:kern w:val="0"/>
                <w:sz w:val="21"/>
                <w:szCs w:val="21"/>
                <w:lang w:val="en-US" w:eastAsia="zh-CN" w:bidi="ar-SA"/>
              </w:rPr>
            </w:pPr>
          </w:p>
        </w:tc>
        <w:tc>
          <w:tcPr>
            <w:tcW w:w="1209" w:type="dxa"/>
            <w:tcBorders>
              <w:top w:val="nil"/>
              <w:left w:val="nil"/>
              <w:bottom w:val="single" w:color="auto" w:sz="4" w:space="0"/>
              <w:right w:val="single" w:color="auto" w:sz="4" w:space="0"/>
            </w:tcBorders>
            <w:noWrap w:val="0"/>
            <w:vAlign w:val="center"/>
          </w:tcPr>
          <w:p w14:paraId="32A4003C">
            <w:pPr>
              <w:pStyle w:val="28"/>
              <w:widowControl/>
              <w:jc w:val="center"/>
              <w:rPr>
                <w:rFonts w:hint="eastAsia" w:ascii="宋体" w:hAnsi="宋体" w:eastAsia="宋体" w:cs="宋体"/>
                <w:kern w:val="0"/>
                <w:sz w:val="21"/>
                <w:szCs w:val="21"/>
                <w:lang w:val="en-US" w:eastAsia="zh-CN" w:bidi="ar-SA"/>
              </w:rPr>
            </w:pPr>
          </w:p>
        </w:tc>
        <w:tc>
          <w:tcPr>
            <w:tcW w:w="650" w:type="pct"/>
            <w:tcBorders>
              <w:top w:val="nil"/>
              <w:left w:val="nil"/>
              <w:bottom w:val="single" w:color="auto" w:sz="4" w:space="0"/>
              <w:right w:val="single" w:color="auto" w:sz="4" w:space="0"/>
            </w:tcBorders>
            <w:noWrap w:val="0"/>
            <w:vAlign w:val="center"/>
          </w:tcPr>
          <w:p w14:paraId="3290A67D">
            <w:pPr>
              <w:pStyle w:val="28"/>
              <w:widowControl/>
              <w:jc w:val="right"/>
              <w:rPr>
                <w:rFonts w:hint="eastAsia" w:ascii="宋体" w:hAnsi="宋体" w:eastAsia="宋体" w:cs="宋体"/>
                <w:kern w:val="0"/>
                <w:sz w:val="21"/>
                <w:szCs w:val="21"/>
                <w:lang w:val="en-US" w:eastAsia="zh-CN" w:bidi="ar-SA"/>
              </w:rPr>
            </w:pPr>
          </w:p>
        </w:tc>
        <w:tc>
          <w:tcPr>
            <w:tcW w:w="649" w:type="pct"/>
            <w:tcBorders>
              <w:top w:val="nil"/>
              <w:left w:val="nil"/>
              <w:bottom w:val="single" w:color="auto" w:sz="4" w:space="0"/>
              <w:right w:val="single" w:color="auto" w:sz="4" w:space="0"/>
            </w:tcBorders>
            <w:noWrap w:val="0"/>
            <w:vAlign w:val="center"/>
          </w:tcPr>
          <w:p w14:paraId="1E07AE24">
            <w:pPr>
              <w:pStyle w:val="28"/>
              <w:widowControl/>
              <w:jc w:val="right"/>
              <w:rPr>
                <w:rFonts w:hint="eastAsia" w:ascii="宋体" w:hAnsi="宋体" w:eastAsia="宋体" w:cs="宋体"/>
                <w:kern w:val="0"/>
                <w:sz w:val="21"/>
                <w:szCs w:val="21"/>
                <w:lang w:val="en-US" w:eastAsia="zh-CN" w:bidi="ar-SA"/>
              </w:rPr>
            </w:pPr>
          </w:p>
        </w:tc>
      </w:tr>
      <w:tr w14:paraId="68A55701">
        <w:tblPrEx>
          <w:tblCellMar>
            <w:top w:w="0" w:type="dxa"/>
            <w:left w:w="108" w:type="dxa"/>
            <w:bottom w:w="0" w:type="dxa"/>
            <w:right w:w="108" w:type="dxa"/>
          </w:tblCellMar>
        </w:tblPrEx>
        <w:trPr>
          <w:trHeight w:val="50" w:hRule="atLeast"/>
        </w:trPr>
        <w:tc>
          <w:tcPr>
            <w:tcW w:w="269" w:type="pct"/>
            <w:tcBorders>
              <w:top w:val="nil"/>
              <w:left w:val="single" w:color="auto" w:sz="4" w:space="0"/>
              <w:bottom w:val="single" w:color="auto" w:sz="4" w:space="0"/>
              <w:right w:val="single" w:color="auto" w:sz="4" w:space="0"/>
            </w:tcBorders>
            <w:noWrap w:val="0"/>
            <w:vAlign w:val="center"/>
          </w:tcPr>
          <w:p w14:paraId="2843B43F">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8</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6AC82502">
            <w:pPr>
              <w:pStyle w:val="28"/>
              <w:widowControl/>
              <w:jc w:val="both"/>
              <w:rPr>
                <w:rFonts w:hint="eastAsia" w:ascii="宋体" w:hAnsi="宋体" w:eastAsia="宋体" w:cs="宋体"/>
                <w:kern w:val="0"/>
                <w:sz w:val="21"/>
                <w:szCs w:val="21"/>
                <w:lang w:val="en-US" w:eastAsia="zh-CN" w:bidi="ar-SA"/>
              </w:rPr>
            </w:pPr>
          </w:p>
        </w:tc>
        <w:tc>
          <w:tcPr>
            <w:tcW w:w="3489" w:type="dxa"/>
            <w:tcBorders>
              <w:top w:val="nil"/>
              <w:left w:val="nil"/>
              <w:bottom w:val="single" w:color="auto" w:sz="4" w:space="0"/>
              <w:right w:val="single" w:color="auto" w:sz="4" w:space="0"/>
            </w:tcBorders>
            <w:noWrap w:val="0"/>
            <w:vAlign w:val="center"/>
          </w:tcPr>
          <w:p w14:paraId="1B3DD8F8">
            <w:pPr>
              <w:pStyle w:val="28"/>
              <w:widowControl/>
              <w:jc w:val="both"/>
              <w:rPr>
                <w:rFonts w:hint="eastAsia" w:ascii="宋体" w:hAnsi="宋体" w:eastAsia="宋体" w:cs="宋体"/>
                <w:kern w:val="0"/>
                <w:sz w:val="21"/>
                <w:szCs w:val="21"/>
                <w:lang w:val="en-US" w:eastAsia="zh-CN" w:bidi="ar-SA"/>
              </w:rPr>
            </w:pPr>
          </w:p>
        </w:tc>
        <w:tc>
          <w:tcPr>
            <w:tcW w:w="1209" w:type="dxa"/>
            <w:tcBorders>
              <w:top w:val="single" w:color="auto" w:sz="4" w:space="0"/>
              <w:left w:val="nil"/>
              <w:bottom w:val="single" w:color="auto" w:sz="4" w:space="0"/>
              <w:right w:val="single" w:color="auto" w:sz="4" w:space="0"/>
            </w:tcBorders>
            <w:noWrap w:val="0"/>
            <w:vAlign w:val="center"/>
          </w:tcPr>
          <w:p w14:paraId="30389493">
            <w:pPr>
              <w:pStyle w:val="28"/>
              <w:widowControl/>
              <w:jc w:val="center"/>
              <w:rPr>
                <w:rFonts w:hint="eastAsia" w:ascii="宋体" w:hAnsi="宋体" w:eastAsia="宋体" w:cs="宋体"/>
                <w:kern w:val="0"/>
                <w:sz w:val="21"/>
                <w:szCs w:val="21"/>
                <w:lang w:val="en-US" w:eastAsia="zh-CN" w:bidi="ar-SA"/>
              </w:rPr>
            </w:pPr>
          </w:p>
        </w:tc>
        <w:tc>
          <w:tcPr>
            <w:tcW w:w="650" w:type="pct"/>
            <w:tcBorders>
              <w:top w:val="single" w:color="auto" w:sz="4" w:space="0"/>
              <w:left w:val="nil"/>
              <w:bottom w:val="single" w:color="auto" w:sz="4" w:space="0"/>
              <w:right w:val="single" w:color="auto" w:sz="4" w:space="0"/>
            </w:tcBorders>
            <w:noWrap w:val="0"/>
            <w:vAlign w:val="center"/>
          </w:tcPr>
          <w:p w14:paraId="6D6205F7">
            <w:pPr>
              <w:pStyle w:val="28"/>
              <w:widowControl/>
              <w:jc w:val="right"/>
              <w:rPr>
                <w:rFonts w:hint="eastAsia" w:ascii="宋体" w:hAnsi="宋体" w:eastAsia="宋体" w:cs="宋体"/>
                <w:kern w:val="0"/>
                <w:sz w:val="21"/>
                <w:szCs w:val="21"/>
                <w:lang w:val="en-US" w:eastAsia="zh-CN" w:bidi="ar-SA"/>
              </w:rPr>
            </w:pPr>
          </w:p>
        </w:tc>
        <w:tc>
          <w:tcPr>
            <w:tcW w:w="649" w:type="pct"/>
            <w:tcBorders>
              <w:top w:val="single" w:color="auto" w:sz="4" w:space="0"/>
              <w:left w:val="nil"/>
              <w:bottom w:val="single" w:color="auto" w:sz="4" w:space="0"/>
              <w:right w:val="single" w:color="auto" w:sz="4" w:space="0"/>
            </w:tcBorders>
            <w:noWrap w:val="0"/>
            <w:vAlign w:val="center"/>
          </w:tcPr>
          <w:p w14:paraId="0683ED93">
            <w:pPr>
              <w:pStyle w:val="28"/>
              <w:widowControl/>
              <w:jc w:val="right"/>
              <w:rPr>
                <w:rFonts w:hint="eastAsia" w:ascii="宋体" w:hAnsi="宋体" w:eastAsia="宋体" w:cs="宋体"/>
                <w:kern w:val="0"/>
                <w:sz w:val="21"/>
                <w:szCs w:val="21"/>
                <w:lang w:val="en-US" w:eastAsia="zh-CN" w:bidi="ar-SA"/>
              </w:rPr>
            </w:pPr>
          </w:p>
        </w:tc>
      </w:tr>
      <w:tr w14:paraId="643A377A">
        <w:tblPrEx>
          <w:tblCellMar>
            <w:top w:w="0" w:type="dxa"/>
            <w:left w:w="108" w:type="dxa"/>
            <w:bottom w:w="0" w:type="dxa"/>
            <w:right w:w="108" w:type="dxa"/>
          </w:tblCellMar>
        </w:tblPrEx>
        <w:trPr>
          <w:trHeight w:val="276" w:hRule="atLeast"/>
        </w:trPr>
        <w:tc>
          <w:tcPr>
            <w:tcW w:w="3050" w:type="pct"/>
            <w:gridSpan w:val="3"/>
            <w:tcBorders>
              <w:top w:val="single" w:color="auto" w:sz="4" w:space="0"/>
              <w:left w:val="single" w:color="auto" w:sz="4" w:space="0"/>
              <w:bottom w:val="single" w:color="auto" w:sz="4" w:space="0"/>
              <w:right w:val="single" w:color="auto" w:sz="4" w:space="0"/>
            </w:tcBorders>
            <w:noWrap w:val="0"/>
            <w:vAlign w:val="center"/>
          </w:tcPr>
          <w:p w14:paraId="7A70136F">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本次资审满分</w:t>
            </w:r>
          </w:p>
        </w:tc>
        <w:tc>
          <w:tcPr>
            <w:tcW w:w="651" w:type="pct"/>
            <w:tcBorders>
              <w:top w:val="single" w:color="auto" w:sz="4" w:space="0"/>
              <w:left w:val="nil"/>
              <w:bottom w:val="single" w:color="auto" w:sz="4" w:space="0"/>
              <w:right w:val="single" w:color="auto" w:sz="4" w:space="0"/>
            </w:tcBorders>
            <w:noWrap w:val="0"/>
            <w:vAlign w:val="center"/>
          </w:tcPr>
          <w:p w14:paraId="0A4B8B64">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100</w:t>
            </w:r>
          </w:p>
        </w:tc>
        <w:tc>
          <w:tcPr>
            <w:tcW w:w="650" w:type="pct"/>
            <w:tcBorders>
              <w:top w:val="single" w:color="auto" w:sz="4" w:space="0"/>
              <w:left w:val="nil"/>
              <w:bottom w:val="single" w:color="auto" w:sz="4" w:space="0"/>
              <w:right w:val="single" w:color="auto" w:sz="4" w:space="0"/>
            </w:tcBorders>
            <w:noWrap w:val="0"/>
            <w:vAlign w:val="center"/>
          </w:tcPr>
          <w:p w14:paraId="2C2E2DC9">
            <w:pPr>
              <w:pStyle w:val="28"/>
              <w:widowControl/>
              <w:jc w:val="right"/>
              <w:rPr>
                <w:rFonts w:hint="eastAsia" w:ascii="宋体" w:hAnsi="宋体" w:eastAsia="宋体" w:cs="宋体"/>
                <w:kern w:val="0"/>
                <w:sz w:val="21"/>
                <w:szCs w:val="21"/>
                <w:lang w:val="en-US" w:eastAsia="zh-CN" w:bidi="ar-SA"/>
              </w:rPr>
            </w:pPr>
          </w:p>
        </w:tc>
        <w:tc>
          <w:tcPr>
            <w:tcW w:w="649" w:type="pct"/>
            <w:tcBorders>
              <w:top w:val="single" w:color="auto" w:sz="4" w:space="0"/>
              <w:left w:val="nil"/>
              <w:bottom w:val="single" w:color="auto" w:sz="4" w:space="0"/>
              <w:right w:val="single" w:color="auto" w:sz="4" w:space="0"/>
            </w:tcBorders>
            <w:noWrap w:val="0"/>
            <w:vAlign w:val="center"/>
          </w:tcPr>
          <w:p w14:paraId="4A7E99D1">
            <w:pPr>
              <w:pStyle w:val="28"/>
              <w:widowControl/>
              <w:jc w:val="right"/>
              <w:rPr>
                <w:rFonts w:hint="eastAsia" w:ascii="宋体" w:hAnsi="宋体" w:eastAsia="宋体" w:cs="宋体"/>
                <w:kern w:val="0"/>
                <w:sz w:val="21"/>
                <w:szCs w:val="21"/>
                <w:lang w:val="en-US" w:eastAsia="zh-CN" w:bidi="ar-SA"/>
              </w:rPr>
            </w:pPr>
          </w:p>
        </w:tc>
      </w:tr>
    </w:tbl>
    <w:p w14:paraId="04015973">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firstLine="643" w:firstLineChars="200"/>
        <w:textAlignment w:val="auto"/>
        <w:rPr>
          <w:rFonts w:hint="eastAsia" w:ascii="仿宋_GB2312" w:hAnsi="黑体" w:eastAsia="仿宋_GB2312" w:cs="Times New Roman"/>
          <w:b/>
          <w:bCs/>
          <w:kern w:val="0"/>
          <w:sz w:val="32"/>
          <w:szCs w:val="32"/>
          <w:highlight w:val="none"/>
          <w:lang w:val="en-US" w:eastAsia="zh-CN"/>
        </w:rPr>
      </w:pPr>
      <w:r>
        <w:rPr>
          <w:rFonts w:hint="eastAsia" w:ascii="仿宋_GB2312" w:hAnsi="黑体" w:eastAsia="仿宋_GB2312" w:cs="Times New Roman"/>
          <w:b/>
          <w:bCs/>
          <w:kern w:val="0"/>
          <w:sz w:val="32"/>
          <w:szCs w:val="32"/>
          <w:highlight w:val="none"/>
          <w:lang w:val="en-US" w:eastAsia="zh-CN"/>
        </w:rPr>
        <w:t>调整为</w:t>
      </w:r>
    </w:p>
    <w:tbl>
      <w:tblPr>
        <w:tblStyle w:val="6"/>
        <w:tblW w:w="5000" w:type="pct"/>
        <w:tblInd w:w="0" w:type="dxa"/>
        <w:tblLayout w:type="autofit"/>
        <w:tblCellMar>
          <w:top w:w="0" w:type="dxa"/>
          <w:left w:w="108" w:type="dxa"/>
          <w:bottom w:w="0" w:type="dxa"/>
          <w:right w:w="108" w:type="dxa"/>
        </w:tblCellMar>
      </w:tblPr>
      <w:tblGrid>
        <w:gridCol w:w="457"/>
        <w:gridCol w:w="1538"/>
        <w:gridCol w:w="3204"/>
        <w:gridCol w:w="1110"/>
        <w:gridCol w:w="1108"/>
        <w:gridCol w:w="1105"/>
      </w:tblGrid>
      <w:tr w14:paraId="31B8C269">
        <w:tblPrEx>
          <w:tblCellMar>
            <w:top w:w="0" w:type="dxa"/>
            <w:left w:w="108" w:type="dxa"/>
            <w:bottom w:w="0" w:type="dxa"/>
            <w:right w:w="108" w:type="dxa"/>
          </w:tblCellMar>
        </w:tblPrEx>
        <w:trPr>
          <w:trHeight w:val="276" w:hRule="atLeast"/>
        </w:trPr>
        <w:tc>
          <w:tcPr>
            <w:tcW w:w="268" w:type="pct"/>
            <w:tcBorders>
              <w:top w:val="single" w:color="auto" w:sz="4" w:space="0"/>
              <w:left w:val="single" w:color="auto" w:sz="4" w:space="0"/>
              <w:bottom w:val="single" w:color="auto" w:sz="4" w:space="0"/>
              <w:right w:val="single" w:color="auto" w:sz="4" w:space="0"/>
            </w:tcBorders>
            <w:noWrap w:val="0"/>
            <w:vAlign w:val="center"/>
          </w:tcPr>
          <w:p w14:paraId="6956784E">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03C48DAE">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评分因素</w:t>
            </w:r>
          </w:p>
        </w:tc>
        <w:tc>
          <w:tcPr>
            <w:tcW w:w="1878" w:type="pct"/>
            <w:tcBorders>
              <w:top w:val="single" w:color="auto" w:sz="4" w:space="0"/>
              <w:left w:val="nil"/>
              <w:bottom w:val="single" w:color="auto" w:sz="4" w:space="0"/>
              <w:right w:val="single" w:color="auto" w:sz="4" w:space="0"/>
            </w:tcBorders>
            <w:noWrap w:val="0"/>
            <w:vAlign w:val="center"/>
          </w:tcPr>
          <w:p w14:paraId="6B48490F">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评分细则</w:t>
            </w:r>
          </w:p>
        </w:tc>
        <w:tc>
          <w:tcPr>
            <w:tcW w:w="651" w:type="pct"/>
            <w:tcBorders>
              <w:top w:val="single" w:color="auto" w:sz="4" w:space="0"/>
              <w:left w:val="nil"/>
              <w:bottom w:val="single" w:color="auto" w:sz="4" w:space="0"/>
              <w:right w:val="single" w:color="auto" w:sz="4" w:space="0"/>
            </w:tcBorders>
            <w:noWrap w:val="0"/>
            <w:vAlign w:val="center"/>
          </w:tcPr>
          <w:p w14:paraId="7ADD9271">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分值</w:t>
            </w:r>
          </w:p>
        </w:tc>
        <w:tc>
          <w:tcPr>
            <w:tcW w:w="650" w:type="pct"/>
            <w:tcBorders>
              <w:top w:val="single" w:color="auto" w:sz="4" w:space="0"/>
              <w:left w:val="nil"/>
              <w:bottom w:val="single" w:color="auto" w:sz="4" w:space="0"/>
              <w:right w:val="single" w:color="auto" w:sz="4" w:space="0"/>
            </w:tcBorders>
            <w:noWrap w:val="0"/>
            <w:vAlign w:val="center"/>
          </w:tcPr>
          <w:p w14:paraId="579E090C">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SA"/>
              </w:rPr>
              <w:t>评分指标情况</w:t>
            </w:r>
          </w:p>
        </w:tc>
        <w:tc>
          <w:tcPr>
            <w:tcW w:w="648" w:type="pct"/>
            <w:tcBorders>
              <w:top w:val="single" w:color="auto" w:sz="4" w:space="0"/>
              <w:left w:val="nil"/>
              <w:bottom w:val="single" w:color="auto" w:sz="4" w:space="0"/>
              <w:right w:val="single" w:color="auto" w:sz="4" w:space="0"/>
            </w:tcBorders>
            <w:noWrap w:val="0"/>
            <w:vAlign w:val="center"/>
          </w:tcPr>
          <w:p w14:paraId="5795ED76">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color w:val="000000"/>
                <w:kern w:val="2"/>
                <w:sz w:val="21"/>
                <w:szCs w:val="21"/>
                <w:lang w:val="en-US" w:eastAsia="zh-CN" w:bidi="ar-SA"/>
              </w:rPr>
              <w:t>自评证明资料页码</w:t>
            </w:r>
          </w:p>
        </w:tc>
      </w:tr>
      <w:tr w14:paraId="0C11D084">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4F977F52">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2F66C659">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企业近三年生产经营活动现金流水平</w:t>
            </w:r>
          </w:p>
        </w:tc>
        <w:tc>
          <w:tcPr>
            <w:tcW w:w="1878" w:type="pct"/>
            <w:tcBorders>
              <w:top w:val="nil"/>
              <w:left w:val="nil"/>
              <w:bottom w:val="single" w:color="auto" w:sz="4" w:space="0"/>
              <w:right w:val="single" w:color="auto" w:sz="4" w:space="0"/>
            </w:tcBorders>
            <w:noWrap w:val="0"/>
            <w:vAlign w:val="center"/>
          </w:tcPr>
          <w:p w14:paraId="5056BEF4">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通过详细审查的各申请人自身近3年（2022年、2023年、2024年）生产经营活动现金流水平由大到小排名，排序第1-5名得25分，排名第6-10名得15分，第11名及以后得5分。</w:t>
            </w:r>
          </w:p>
          <w:p w14:paraId="6DFF10D7">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不提供证明资料或资料不满足要求得0分。</w:t>
            </w:r>
          </w:p>
          <w:p w14:paraId="46BADA2C">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生产经营活动现金流水平=企业近三年经营活动现金流入小计总和/所有通过详细审查的申请人近三年经营活动现金流入小计总和平均值</w:t>
            </w:r>
          </w:p>
          <w:p w14:paraId="313BAF81">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计算公式示例如下:生产经营活动现金流水平=(2022年经营活动现金流入小计+2023年经营活动现金流入小计+2024年经营活动现金流入小计)/所有通过详细审查的申请人近三年经营活动现金流入小计总和平均值，其中所有通过详细审查的申请人近三年生产经营现金流入小计总和平均值=所有通过详细审查的申请人2022、2023、2024年经营活动现金流入小计总额/通过详细审查的申请人数量。</w:t>
            </w:r>
          </w:p>
          <w:p w14:paraId="089709F1">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证明材料：</w:t>
            </w:r>
          </w:p>
          <w:p w14:paraId="1052533B">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申请人需提供第三方审核出具的年度财务报告；</w:t>
            </w:r>
          </w:p>
          <w:p w14:paraId="218D7A44">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2.若为联合体投标，则以牵头人的财务报告为准；</w:t>
            </w:r>
          </w:p>
          <w:p w14:paraId="0D4E9B55">
            <w:pPr>
              <w:pStyle w:val="33"/>
              <w:widowControl w:val="0"/>
              <w:numPr>
                <w:ilvl w:val="0"/>
                <w:numId w:val="0"/>
              </w:numPr>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3.若不同财报同一数据前后不一致，则以最新财报数据为准；3.若申请人同时具有“合并”、“非合并”、“母公司”等报表，需提供“合并”报表，财务数据以“合并”报表为准。</w:t>
            </w:r>
          </w:p>
        </w:tc>
        <w:tc>
          <w:tcPr>
            <w:tcW w:w="651" w:type="pct"/>
            <w:tcBorders>
              <w:top w:val="nil"/>
              <w:left w:val="nil"/>
              <w:bottom w:val="single" w:color="auto" w:sz="4" w:space="0"/>
              <w:right w:val="single" w:color="auto" w:sz="4" w:space="0"/>
            </w:tcBorders>
            <w:noWrap w:val="0"/>
            <w:vAlign w:val="center"/>
          </w:tcPr>
          <w:p w14:paraId="487F0BDA">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25.0</w:t>
            </w:r>
          </w:p>
        </w:tc>
        <w:tc>
          <w:tcPr>
            <w:tcW w:w="650" w:type="pct"/>
            <w:tcBorders>
              <w:top w:val="nil"/>
              <w:left w:val="nil"/>
              <w:bottom w:val="single" w:color="auto" w:sz="4" w:space="0"/>
              <w:right w:val="single" w:color="auto" w:sz="4" w:space="0"/>
            </w:tcBorders>
            <w:noWrap w:val="0"/>
            <w:vAlign w:val="center"/>
          </w:tcPr>
          <w:p w14:paraId="32733C9E">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w:t>
            </w:r>
          </w:p>
        </w:tc>
        <w:tc>
          <w:tcPr>
            <w:tcW w:w="648" w:type="pct"/>
            <w:tcBorders>
              <w:top w:val="nil"/>
              <w:left w:val="nil"/>
              <w:bottom w:val="single" w:color="auto" w:sz="4" w:space="0"/>
              <w:right w:val="single" w:color="auto" w:sz="4" w:space="0"/>
            </w:tcBorders>
            <w:noWrap w:val="0"/>
            <w:vAlign w:val="center"/>
          </w:tcPr>
          <w:p w14:paraId="166DDB2C">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w:t>
            </w:r>
          </w:p>
        </w:tc>
      </w:tr>
      <w:tr w14:paraId="0057D6E6">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2C568A78">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3F63A644">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企业近三年企业经营性现金流情况</w:t>
            </w:r>
          </w:p>
        </w:tc>
        <w:tc>
          <w:tcPr>
            <w:tcW w:w="1878" w:type="pct"/>
            <w:tcBorders>
              <w:top w:val="nil"/>
              <w:left w:val="nil"/>
              <w:bottom w:val="single" w:color="auto" w:sz="4" w:space="0"/>
              <w:right w:val="single" w:color="auto" w:sz="4" w:space="0"/>
            </w:tcBorders>
            <w:noWrap w:val="0"/>
            <w:vAlign w:val="center"/>
          </w:tcPr>
          <w:p w14:paraId="0EBE5153">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通过详细审查的各申请人自身近3年（2022年、2023年、2024年）企业经营性现金流情况：</w:t>
            </w:r>
          </w:p>
          <w:p w14:paraId="3C2DF0C7">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近三年经营活动产生的现金流量净额均为正值得15分</w:t>
            </w:r>
          </w:p>
          <w:p w14:paraId="675D74D2">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近三年经营活动产生的现金流量其中1年净额出现负值得10分</w:t>
            </w:r>
          </w:p>
          <w:p w14:paraId="59D15785">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近三年经营活动产生的现金流量其中2年或3年净额出现负值得1分</w:t>
            </w:r>
          </w:p>
          <w:p w14:paraId="676D762C">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不提供证明资料或资料不满足要求得0分。</w:t>
            </w:r>
          </w:p>
          <w:p w14:paraId="6C26EC8D">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证明材料：</w:t>
            </w:r>
          </w:p>
          <w:p w14:paraId="4419851D">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申请人需提供第三方审核出具的年度财务报告；</w:t>
            </w:r>
          </w:p>
          <w:p w14:paraId="24DBEFB4">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2.若为联合体投标，则以牵头人的财务报告为准；</w:t>
            </w:r>
          </w:p>
          <w:p w14:paraId="7BB2602B">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3.若不同财报同一数据前后不一致，则以最新财报数据为准；</w:t>
            </w:r>
          </w:p>
          <w:p w14:paraId="7B937642">
            <w:pPr>
              <w:pStyle w:val="33"/>
              <w:widowControl w:val="0"/>
              <w:numPr>
                <w:ilvl w:val="0"/>
                <w:numId w:val="0"/>
              </w:numPr>
              <w:jc w:val="both"/>
              <w:rPr>
                <w:rFonts w:hint="eastAsia" w:ascii="宋体" w:hAnsi="宋体" w:eastAsia="宋体" w:cs="宋体"/>
                <w:kern w:val="0"/>
                <w:sz w:val="21"/>
                <w:szCs w:val="21"/>
                <w:lang w:val="zh-CN" w:eastAsia="zh-CN" w:bidi="ar-SA"/>
              </w:rPr>
            </w:pPr>
            <w:r>
              <w:rPr>
                <w:rFonts w:ascii="宋体" w:hAnsi="宋体" w:eastAsia="宋体" w:cs="宋体"/>
                <w:sz w:val="22"/>
                <w:szCs w:val="22"/>
                <w:u w:val="none" w:color="auto"/>
                <w:lang w:val="en-US" w:eastAsia="zh-CN" w:bidi="ar-SA"/>
              </w:rPr>
              <w:t>4.若申请人同时具有“合并”、“非合并”、“母公司”等报表，需提供“合并”报表，财务数据以“合并”报表为准。</w:t>
            </w:r>
          </w:p>
        </w:tc>
        <w:tc>
          <w:tcPr>
            <w:tcW w:w="651" w:type="pct"/>
            <w:tcBorders>
              <w:top w:val="nil"/>
              <w:left w:val="nil"/>
              <w:bottom w:val="single" w:color="auto" w:sz="4" w:space="0"/>
              <w:right w:val="single" w:color="auto" w:sz="4" w:space="0"/>
            </w:tcBorders>
            <w:noWrap w:val="0"/>
            <w:vAlign w:val="center"/>
          </w:tcPr>
          <w:p w14:paraId="2EA9AEDB">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15.0</w:t>
            </w:r>
          </w:p>
        </w:tc>
        <w:tc>
          <w:tcPr>
            <w:tcW w:w="650" w:type="pct"/>
            <w:tcBorders>
              <w:top w:val="nil"/>
              <w:left w:val="nil"/>
              <w:bottom w:val="single" w:color="auto" w:sz="4" w:space="0"/>
              <w:right w:val="single" w:color="auto" w:sz="4" w:space="0"/>
            </w:tcBorders>
            <w:noWrap w:val="0"/>
            <w:vAlign w:val="center"/>
          </w:tcPr>
          <w:p w14:paraId="234DAF93">
            <w:pPr>
              <w:pStyle w:val="28"/>
              <w:widowControl/>
              <w:jc w:val="right"/>
              <w:rPr>
                <w:rFonts w:hint="eastAsia" w:ascii="宋体" w:hAnsi="宋体" w:eastAsia="宋体" w:cs="宋体"/>
                <w:kern w:val="0"/>
                <w:sz w:val="21"/>
                <w:szCs w:val="21"/>
                <w:lang w:val="en-US" w:eastAsia="zh-CN" w:bidi="ar-SA"/>
              </w:rPr>
            </w:pPr>
          </w:p>
        </w:tc>
        <w:tc>
          <w:tcPr>
            <w:tcW w:w="648" w:type="pct"/>
            <w:tcBorders>
              <w:top w:val="nil"/>
              <w:left w:val="nil"/>
              <w:bottom w:val="single" w:color="auto" w:sz="4" w:space="0"/>
              <w:right w:val="single" w:color="auto" w:sz="4" w:space="0"/>
            </w:tcBorders>
            <w:noWrap w:val="0"/>
            <w:vAlign w:val="center"/>
          </w:tcPr>
          <w:p w14:paraId="2D78828A">
            <w:pPr>
              <w:pStyle w:val="28"/>
              <w:widowControl/>
              <w:jc w:val="right"/>
              <w:rPr>
                <w:rFonts w:hint="eastAsia" w:ascii="宋体" w:hAnsi="宋体" w:eastAsia="宋体" w:cs="宋体"/>
                <w:kern w:val="0"/>
                <w:sz w:val="21"/>
                <w:szCs w:val="21"/>
                <w:lang w:val="en-US" w:eastAsia="zh-CN" w:bidi="ar-SA"/>
              </w:rPr>
            </w:pPr>
          </w:p>
        </w:tc>
      </w:tr>
      <w:tr w14:paraId="1CA789E6">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68F324D9">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3</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428DBF87">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企业近三年生产经营增长率</w:t>
            </w:r>
          </w:p>
        </w:tc>
        <w:tc>
          <w:tcPr>
            <w:tcW w:w="1878" w:type="pct"/>
            <w:tcBorders>
              <w:top w:val="nil"/>
              <w:left w:val="nil"/>
              <w:bottom w:val="single" w:color="auto" w:sz="4" w:space="0"/>
              <w:right w:val="single" w:color="auto" w:sz="4" w:space="0"/>
            </w:tcBorders>
            <w:noWrap w:val="0"/>
            <w:vAlign w:val="center"/>
          </w:tcPr>
          <w:p w14:paraId="45002EC1">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通过详细审查的各申请人自身近3年（2022年、2023年、2024年）生产经营增长率情况：</w:t>
            </w:r>
          </w:p>
          <w:p w14:paraId="6093B719">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2022年、2023年、2024年年度生产经营增长率出现两次高于1，得10分；</w:t>
            </w:r>
          </w:p>
          <w:p w14:paraId="0B95F0AB">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2022年、2023年、2024年年度生产经营增长率出现一次高于1，得5分；</w:t>
            </w:r>
          </w:p>
          <w:p w14:paraId="746F172A">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2022年、2023年、2024年年度生产经营增长率均低于1，得1分；</w:t>
            </w:r>
          </w:p>
          <w:p w14:paraId="4892C74C">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不提供证明资料或资料不满足要求得0分。</w:t>
            </w:r>
          </w:p>
          <w:p w14:paraId="7F5F6976">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计算公式如下：生产经营增长率=当年营业收入/上一年度营业收入；即2023年营业收入/2022年营业收入；2024年营业收入/2023年营业收入。</w:t>
            </w:r>
          </w:p>
          <w:p w14:paraId="63BE1DF9">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证明材料：</w:t>
            </w:r>
          </w:p>
          <w:p w14:paraId="61F07C97">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申请人需提供第三方审核出具的年度财务报告；</w:t>
            </w:r>
          </w:p>
          <w:p w14:paraId="56D61BF4">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2.若为联合体投标，则以牵头人的财务报告为准；</w:t>
            </w:r>
          </w:p>
          <w:p w14:paraId="4D04A422">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3.若不同财报同一数据前后不一致，则以最新财报数据为准；</w:t>
            </w:r>
          </w:p>
          <w:p w14:paraId="05FB07FE">
            <w:pPr>
              <w:pStyle w:val="33"/>
              <w:widowControl w:val="0"/>
              <w:numPr>
                <w:ilvl w:val="0"/>
                <w:numId w:val="0"/>
              </w:numPr>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4.若申请人同时具有“合并”、“非合并”、“母公司”等报表，需提供“合并”报表，财务数据以“合并”报表为准。</w:t>
            </w:r>
          </w:p>
        </w:tc>
        <w:tc>
          <w:tcPr>
            <w:tcW w:w="651" w:type="pct"/>
            <w:tcBorders>
              <w:top w:val="nil"/>
              <w:left w:val="nil"/>
              <w:bottom w:val="single" w:color="auto" w:sz="4" w:space="0"/>
              <w:right w:val="single" w:color="auto" w:sz="4" w:space="0"/>
            </w:tcBorders>
            <w:noWrap w:val="0"/>
            <w:vAlign w:val="center"/>
          </w:tcPr>
          <w:p w14:paraId="47108E8A">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10.0</w:t>
            </w:r>
          </w:p>
        </w:tc>
        <w:tc>
          <w:tcPr>
            <w:tcW w:w="650" w:type="pct"/>
            <w:tcBorders>
              <w:top w:val="nil"/>
              <w:left w:val="nil"/>
              <w:bottom w:val="single" w:color="auto" w:sz="4" w:space="0"/>
              <w:right w:val="single" w:color="auto" w:sz="4" w:space="0"/>
            </w:tcBorders>
            <w:noWrap w:val="0"/>
            <w:vAlign w:val="center"/>
          </w:tcPr>
          <w:p w14:paraId="06F47A3F">
            <w:pPr>
              <w:pStyle w:val="28"/>
              <w:widowControl/>
              <w:jc w:val="right"/>
              <w:rPr>
                <w:rFonts w:hint="eastAsia" w:ascii="宋体" w:hAnsi="宋体" w:eastAsia="宋体" w:cs="宋体"/>
                <w:kern w:val="0"/>
                <w:sz w:val="21"/>
                <w:szCs w:val="21"/>
                <w:lang w:val="en-US" w:eastAsia="zh-CN" w:bidi="ar-SA"/>
              </w:rPr>
            </w:pPr>
          </w:p>
        </w:tc>
        <w:tc>
          <w:tcPr>
            <w:tcW w:w="648" w:type="pct"/>
            <w:tcBorders>
              <w:top w:val="nil"/>
              <w:left w:val="nil"/>
              <w:bottom w:val="single" w:color="auto" w:sz="4" w:space="0"/>
              <w:right w:val="single" w:color="auto" w:sz="4" w:space="0"/>
            </w:tcBorders>
            <w:noWrap w:val="0"/>
            <w:vAlign w:val="center"/>
          </w:tcPr>
          <w:p w14:paraId="08AA89B2">
            <w:pPr>
              <w:pStyle w:val="28"/>
              <w:widowControl/>
              <w:jc w:val="right"/>
              <w:rPr>
                <w:rFonts w:hint="eastAsia" w:ascii="宋体" w:hAnsi="宋体" w:eastAsia="宋体" w:cs="宋体"/>
                <w:kern w:val="0"/>
                <w:sz w:val="21"/>
                <w:szCs w:val="21"/>
                <w:lang w:val="en-US" w:eastAsia="zh-CN" w:bidi="ar-SA"/>
              </w:rPr>
            </w:pPr>
          </w:p>
        </w:tc>
      </w:tr>
      <w:tr w14:paraId="3E555E07">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4E17BA79">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4</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629447E1">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企业近三年企业经营管理效能</w:t>
            </w:r>
          </w:p>
        </w:tc>
        <w:tc>
          <w:tcPr>
            <w:tcW w:w="1878" w:type="pct"/>
            <w:tcBorders>
              <w:top w:val="nil"/>
              <w:left w:val="nil"/>
              <w:bottom w:val="single" w:color="auto" w:sz="4" w:space="0"/>
              <w:right w:val="single" w:color="auto" w:sz="4" w:space="0"/>
            </w:tcBorders>
            <w:noWrap w:val="0"/>
            <w:vAlign w:val="center"/>
          </w:tcPr>
          <w:p w14:paraId="5711F7B0">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通过详细审查的各申请人自身近3年（2022年、2023年、2024年）企业经营管理效能情况：</w:t>
            </w:r>
          </w:p>
          <w:p w14:paraId="3B7BF293">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2024年：</w:t>
            </w:r>
          </w:p>
          <w:p w14:paraId="2DE09316">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年度企业经营管理效能≤10%，得5分；</w:t>
            </w:r>
          </w:p>
          <w:p w14:paraId="0B90FEEE">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10%＜年度企业经营管理效能≤15%，得3分；</w:t>
            </w:r>
          </w:p>
          <w:p w14:paraId="79AFB259">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年度企业经营管理效能＞15%，得1分。</w:t>
            </w:r>
          </w:p>
          <w:p w14:paraId="13E5231D">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2023年：</w:t>
            </w:r>
          </w:p>
          <w:p w14:paraId="321AC31B">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年度企业经营管理效能≤10%，得5分；</w:t>
            </w:r>
          </w:p>
          <w:p w14:paraId="64071BBC">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10%＜年度企业经营管理效能≤15%，得3分；</w:t>
            </w:r>
          </w:p>
          <w:p w14:paraId="74BE22B8">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年度企业经营管理效能＞15%，得1分。</w:t>
            </w:r>
          </w:p>
          <w:p w14:paraId="48934D12">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2022年：</w:t>
            </w:r>
          </w:p>
          <w:p w14:paraId="28D26ACF">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年度企业经营管理效能≤10%，得5分；</w:t>
            </w:r>
          </w:p>
          <w:p w14:paraId="2E2A3E80">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10%＜年度企业经营管理效能≤15%，得3分；</w:t>
            </w:r>
          </w:p>
          <w:p w14:paraId="0726D84F">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年度企业经营管理效能＞15%，得1分。</w:t>
            </w:r>
          </w:p>
          <w:p w14:paraId="50277D23">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不提供证明资料或资料不满足要求得0分。</w:t>
            </w:r>
          </w:p>
          <w:p w14:paraId="06A9047D">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企业经营管理效能得分=2022年企业经营管理效能得分+2023年企业经营管理效能得分+2024年企业经营管理效能得分。</w:t>
            </w:r>
          </w:p>
          <w:p w14:paraId="5AB9B353">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计算公式示例如下：2024年企业经营管理效能=企业2024年管理费用/2024年营业收入*100%，小数点保留后两位。</w:t>
            </w:r>
          </w:p>
          <w:p w14:paraId="27CF89E2">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证明材料：</w:t>
            </w:r>
          </w:p>
          <w:p w14:paraId="3DFA240F">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申请人需提供第三方审核出具的年度财务报告；</w:t>
            </w:r>
          </w:p>
          <w:p w14:paraId="5BA6B2FB">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2.若为联合体投标，则以牵头人的财务报告为准；</w:t>
            </w:r>
          </w:p>
          <w:p w14:paraId="5334D5CF">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3.若不同财报同一数据前后不一致，则以最新财报数据为准；</w:t>
            </w:r>
          </w:p>
          <w:p w14:paraId="5A1A14F7">
            <w:pPr>
              <w:pStyle w:val="33"/>
              <w:widowControl w:val="0"/>
              <w:numPr>
                <w:ilvl w:val="0"/>
                <w:numId w:val="0"/>
              </w:numPr>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4.若申请人同时具有“合并”、“非合并”、“母公司”等报表，需提供“合并”报表，财务数据以“合并”报表为准。</w:t>
            </w:r>
          </w:p>
        </w:tc>
        <w:tc>
          <w:tcPr>
            <w:tcW w:w="651" w:type="pct"/>
            <w:tcBorders>
              <w:top w:val="nil"/>
              <w:left w:val="nil"/>
              <w:bottom w:val="single" w:color="auto" w:sz="4" w:space="0"/>
              <w:right w:val="single" w:color="auto" w:sz="4" w:space="0"/>
            </w:tcBorders>
            <w:noWrap w:val="0"/>
            <w:vAlign w:val="center"/>
          </w:tcPr>
          <w:p w14:paraId="7384356A">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15.0</w:t>
            </w:r>
          </w:p>
        </w:tc>
        <w:tc>
          <w:tcPr>
            <w:tcW w:w="650" w:type="pct"/>
            <w:tcBorders>
              <w:top w:val="nil"/>
              <w:left w:val="nil"/>
              <w:bottom w:val="single" w:color="auto" w:sz="4" w:space="0"/>
              <w:right w:val="single" w:color="auto" w:sz="4" w:space="0"/>
            </w:tcBorders>
            <w:noWrap w:val="0"/>
            <w:vAlign w:val="center"/>
          </w:tcPr>
          <w:p w14:paraId="4183E293">
            <w:pPr>
              <w:pStyle w:val="28"/>
              <w:widowControl/>
              <w:jc w:val="right"/>
              <w:rPr>
                <w:rFonts w:hint="eastAsia" w:ascii="宋体" w:hAnsi="宋体" w:eastAsia="宋体" w:cs="宋体"/>
                <w:kern w:val="0"/>
                <w:sz w:val="21"/>
                <w:szCs w:val="21"/>
                <w:lang w:val="en-US" w:eastAsia="zh-CN" w:bidi="ar-SA"/>
              </w:rPr>
            </w:pPr>
          </w:p>
        </w:tc>
        <w:tc>
          <w:tcPr>
            <w:tcW w:w="648" w:type="pct"/>
            <w:tcBorders>
              <w:top w:val="nil"/>
              <w:left w:val="nil"/>
              <w:bottom w:val="single" w:color="auto" w:sz="4" w:space="0"/>
              <w:right w:val="single" w:color="auto" w:sz="4" w:space="0"/>
            </w:tcBorders>
            <w:noWrap w:val="0"/>
            <w:vAlign w:val="center"/>
          </w:tcPr>
          <w:p w14:paraId="6E40F6C6">
            <w:pPr>
              <w:pStyle w:val="28"/>
              <w:widowControl/>
              <w:jc w:val="right"/>
              <w:rPr>
                <w:rFonts w:hint="eastAsia" w:ascii="宋体" w:hAnsi="宋体" w:eastAsia="宋体" w:cs="宋体"/>
                <w:kern w:val="0"/>
                <w:sz w:val="21"/>
                <w:szCs w:val="21"/>
                <w:lang w:val="en-US" w:eastAsia="zh-CN" w:bidi="ar-SA"/>
              </w:rPr>
            </w:pPr>
          </w:p>
        </w:tc>
      </w:tr>
      <w:tr w14:paraId="1EE72518">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570D52E8">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5</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73FE2911">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企业战略合作业绩</w:t>
            </w:r>
          </w:p>
        </w:tc>
        <w:tc>
          <w:tcPr>
            <w:tcW w:w="1878" w:type="pct"/>
            <w:tcBorders>
              <w:top w:val="nil"/>
              <w:left w:val="nil"/>
              <w:bottom w:val="single" w:color="auto" w:sz="4" w:space="0"/>
              <w:right w:val="single" w:color="auto" w:sz="4" w:space="0"/>
            </w:tcBorders>
            <w:noWrap w:val="0"/>
            <w:vAlign w:val="center"/>
          </w:tcPr>
          <w:p w14:paraId="36CBD909">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近年(2021年01月01日起至申请截止时间)，申请人提供满足资格审查要求的业绩，得5分；在此基础上申请人每具有1个墙纸（或墙布）集采(或框架协议、战略协议等)协议范围内已完成或正在供货或新承接的单项目合同金额合计不低于500万元的(不含资格审查业绩)得5分，最多得10分，本项最高得15分；</w:t>
            </w:r>
          </w:p>
          <w:p w14:paraId="11BA1E43">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若以上框架协议(或集采协议、战略协议等)业绩为申请人与2020-2025年中指研究院“中国房地产百强企业”排行榜中TOP100的任一企业或中国企业联合会“中国企业500强”中TOP100的任一企业签订的墙纸（或墙布）框架协议(或集采协议、战略协议等)，每个业绩额外加5分，本项最多加10分；若框架协议(或集采协议、战略协议等)业绩为申请人与非上述企业签订的墙纸（或墙布）框架协议(或集采协议、战略协议等)，每个业绩额外加1分，本项最多加2分。申请人的框架协议（或集采协议、战略协议等）签订日期所在年份与中指研究院“中国房地产百强企业”排行榜或中国企业联合会“中国企业500强”的年度为同一年，否则不得加分。</w:t>
            </w:r>
          </w:p>
          <w:p w14:paraId="7D3F5F4C">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证明材料：</w:t>
            </w:r>
          </w:p>
          <w:p w14:paraId="0B3F469F">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集采协议（或框架协议、战略协议等）的乙方须为申请人自身（若为联合体申请，框架协议（或集采协议、战略协议等）的乙方须为联合体牵头人），集采协议下单项目合同的乙方可为申请人自身或其分公司或授权的代理商。</w:t>
            </w:r>
          </w:p>
          <w:p w14:paraId="03338DAE">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2.框架协议(或集采协议、战略协议等)甲方与2020-2025年中指研究院“中国房地产百强企业”排行榜中TOP100的任一企业或中国企业联合会“中国企业500强”中TOP100的任一企业不一致时，需额外提供股权穿透截图。</w:t>
            </w:r>
          </w:p>
          <w:p w14:paraId="388AE5E6">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3.所提供业绩的产品品牌须与申请人申请本项目的产品品牌一致；</w:t>
            </w:r>
          </w:p>
          <w:p w14:paraId="149AF512">
            <w:pPr>
              <w:pStyle w:val="33"/>
              <w:widowControl w:val="0"/>
              <w:numPr>
                <w:ilvl w:val="0"/>
                <w:numId w:val="0"/>
              </w:numPr>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4.详见第四章《资格预审申请文件格式》第十部分类似工程业绩表中证明材料的要求。</w:t>
            </w:r>
          </w:p>
          <w:p w14:paraId="66017A51">
            <w:pPr>
              <w:pStyle w:val="33"/>
              <w:widowControl w:val="0"/>
              <w:numPr>
                <w:ilvl w:val="0"/>
                <w:numId w:val="0"/>
              </w:numPr>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5.中指研究院“中国房地产百强企业”排行榜和中国企业联合会“中国企业500强”排行榜详见附件。</w:t>
            </w:r>
          </w:p>
        </w:tc>
        <w:tc>
          <w:tcPr>
            <w:tcW w:w="651" w:type="pct"/>
            <w:tcBorders>
              <w:top w:val="nil"/>
              <w:left w:val="nil"/>
              <w:bottom w:val="single" w:color="auto" w:sz="4" w:space="0"/>
              <w:right w:val="single" w:color="auto" w:sz="4" w:space="0"/>
            </w:tcBorders>
            <w:noWrap w:val="0"/>
            <w:vAlign w:val="center"/>
          </w:tcPr>
          <w:p w14:paraId="7021525A">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25.0</w:t>
            </w:r>
          </w:p>
        </w:tc>
        <w:tc>
          <w:tcPr>
            <w:tcW w:w="650" w:type="pct"/>
            <w:tcBorders>
              <w:top w:val="nil"/>
              <w:left w:val="nil"/>
              <w:bottom w:val="single" w:color="auto" w:sz="4" w:space="0"/>
              <w:right w:val="single" w:color="auto" w:sz="4" w:space="0"/>
            </w:tcBorders>
            <w:noWrap w:val="0"/>
            <w:vAlign w:val="center"/>
          </w:tcPr>
          <w:p w14:paraId="2E3E3516">
            <w:pPr>
              <w:pStyle w:val="28"/>
              <w:widowControl/>
              <w:jc w:val="right"/>
              <w:rPr>
                <w:rFonts w:hint="eastAsia" w:ascii="宋体" w:hAnsi="宋体" w:eastAsia="宋体" w:cs="宋体"/>
                <w:kern w:val="0"/>
                <w:sz w:val="21"/>
                <w:szCs w:val="21"/>
                <w:lang w:val="en-US" w:eastAsia="zh-CN" w:bidi="ar-SA"/>
              </w:rPr>
            </w:pPr>
          </w:p>
        </w:tc>
        <w:tc>
          <w:tcPr>
            <w:tcW w:w="648" w:type="pct"/>
            <w:tcBorders>
              <w:top w:val="nil"/>
              <w:left w:val="nil"/>
              <w:bottom w:val="single" w:color="auto" w:sz="4" w:space="0"/>
              <w:right w:val="single" w:color="auto" w:sz="4" w:space="0"/>
            </w:tcBorders>
            <w:noWrap w:val="0"/>
            <w:vAlign w:val="center"/>
          </w:tcPr>
          <w:p w14:paraId="4B882D02">
            <w:pPr>
              <w:pStyle w:val="28"/>
              <w:widowControl/>
              <w:jc w:val="right"/>
              <w:rPr>
                <w:rFonts w:hint="eastAsia" w:ascii="宋体" w:hAnsi="宋体" w:eastAsia="宋体" w:cs="宋体"/>
                <w:kern w:val="0"/>
                <w:sz w:val="21"/>
                <w:szCs w:val="21"/>
                <w:lang w:val="en-US" w:eastAsia="zh-CN" w:bidi="ar-SA"/>
              </w:rPr>
            </w:pPr>
          </w:p>
        </w:tc>
      </w:tr>
      <w:tr w14:paraId="07438E60">
        <w:tblPrEx>
          <w:tblCellMar>
            <w:top w:w="0" w:type="dxa"/>
            <w:left w:w="108" w:type="dxa"/>
            <w:bottom w:w="0" w:type="dxa"/>
            <w:right w:w="108" w:type="dxa"/>
          </w:tblCellMar>
        </w:tblPrEx>
        <w:trPr>
          <w:trHeight w:val="148" w:hRule="atLeast"/>
        </w:trPr>
        <w:tc>
          <w:tcPr>
            <w:tcW w:w="268" w:type="pct"/>
            <w:tcBorders>
              <w:top w:val="nil"/>
              <w:left w:val="single" w:color="auto" w:sz="4" w:space="0"/>
              <w:bottom w:val="single" w:color="auto" w:sz="4" w:space="0"/>
              <w:right w:val="single" w:color="auto" w:sz="4" w:space="0"/>
            </w:tcBorders>
            <w:noWrap w:val="0"/>
            <w:vAlign w:val="center"/>
          </w:tcPr>
          <w:p w14:paraId="4FB7FC0C">
            <w:pPr>
              <w:pStyle w:val="28"/>
              <w:widowControl/>
              <w:jc w:val="both"/>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6</w:t>
            </w:r>
          </w:p>
        </w:tc>
        <w:tc>
          <w:tcPr>
            <w:tcW w:w="902" w:type="pct"/>
            <w:tcBorders>
              <w:top w:val="single" w:color="auto" w:sz="4" w:space="0"/>
              <w:left w:val="single" w:color="auto" w:sz="4" w:space="0"/>
              <w:bottom w:val="single" w:color="auto" w:sz="4" w:space="0"/>
              <w:right w:val="single" w:color="auto" w:sz="4" w:space="0"/>
            </w:tcBorders>
            <w:noWrap w:val="0"/>
            <w:vAlign w:val="center"/>
          </w:tcPr>
          <w:p w14:paraId="22D3BD79">
            <w:pPr>
              <w:pStyle w:val="33"/>
              <w:widowControl w:val="0"/>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企业售后服务能力</w:t>
            </w:r>
          </w:p>
        </w:tc>
        <w:tc>
          <w:tcPr>
            <w:tcW w:w="1878" w:type="pct"/>
            <w:tcBorders>
              <w:top w:val="nil"/>
              <w:left w:val="nil"/>
              <w:bottom w:val="single" w:color="auto" w:sz="4" w:space="0"/>
              <w:right w:val="single" w:color="auto" w:sz="4" w:space="0"/>
            </w:tcBorders>
            <w:noWrap w:val="0"/>
            <w:vAlign w:val="center"/>
          </w:tcPr>
          <w:p w14:paraId="7A27186C">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售后服务人员≥20人，得10分；</w:t>
            </w:r>
          </w:p>
          <w:p w14:paraId="2B0A47CB">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10≤售后服务人员＜20人，得5分；</w:t>
            </w:r>
          </w:p>
          <w:p w14:paraId="03B728B9">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1≤售后服务人员＜10人，得1分；</w:t>
            </w:r>
          </w:p>
          <w:p w14:paraId="742BB372">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售后服务人员&lt;1人，得0分。</w:t>
            </w:r>
          </w:p>
          <w:p w14:paraId="3BC17721">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无售后服务人员或不提供相关证明资料，此项得0分。</w:t>
            </w:r>
          </w:p>
          <w:p w14:paraId="2F90009F">
            <w:pPr>
              <w:pStyle w:val="33"/>
              <w:widowControl w:val="0"/>
              <w:jc w:val="both"/>
              <w:rPr>
                <w:rFonts w:ascii="宋体" w:hAnsi="宋体" w:eastAsia="宋体" w:cs="宋体"/>
                <w:sz w:val="22"/>
                <w:szCs w:val="22"/>
                <w:u w:val="none" w:color="auto"/>
                <w:lang w:val="en-US" w:eastAsia="zh-CN" w:bidi="ar-SA"/>
              </w:rPr>
            </w:pPr>
            <w:r>
              <w:rPr>
                <w:rFonts w:ascii="宋体" w:hAnsi="宋体" w:eastAsia="宋体" w:cs="宋体"/>
                <w:sz w:val="22"/>
                <w:szCs w:val="22"/>
                <w:u w:val="none" w:color="auto"/>
                <w:lang w:val="en-US" w:eastAsia="zh-CN" w:bidi="ar-SA"/>
              </w:rPr>
              <w:t>证明资料：</w:t>
            </w:r>
          </w:p>
          <w:p w14:paraId="2E469E80">
            <w:pPr>
              <w:pStyle w:val="33"/>
              <w:widowControl w:val="0"/>
              <w:numPr>
                <w:ilvl w:val="0"/>
                <w:numId w:val="0"/>
              </w:numPr>
              <w:jc w:val="both"/>
              <w:rPr>
                <w:rFonts w:ascii="宋体" w:hAnsi="宋体" w:eastAsia="宋体" w:cs="宋体"/>
                <w:sz w:val="22"/>
                <w:szCs w:val="22"/>
                <w:u w:val="none" w:color="auto"/>
                <w:lang w:val="en-US" w:eastAsia="zh-CN" w:bidi="ar-SA"/>
              </w:rPr>
            </w:pPr>
            <w:r>
              <w:rPr>
                <w:rFonts w:hint="eastAsia" w:ascii="宋体" w:hAnsi="宋体" w:eastAsia="宋体" w:cs="宋体"/>
                <w:sz w:val="22"/>
                <w:szCs w:val="22"/>
                <w:u w:val="none" w:color="auto"/>
                <w:lang w:val="en-US" w:eastAsia="zh-CN" w:bidi="ar-SA"/>
              </w:rPr>
              <w:t>1.</w:t>
            </w:r>
            <w:r>
              <w:rPr>
                <w:rFonts w:ascii="宋体" w:hAnsi="宋体" w:eastAsia="宋体" w:cs="宋体"/>
                <w:sz w:val="22"/>
                <w:szCs w:val="22"/>
                <w:u w:val="none" w:color="auto"/>
                <w:lang w:val="en-US" w:eastAsia="zh-CN" w:bidi="ar-SA"/>
              </w:rPr>
              <w:t>非联合体申请：提供申请人或其分公司或授权代理商人员，需提供身份证、社保缴费证明、分公司营业执照（若提供分公司社保）、代理商与申请人的代理授权委托书和代理商营业执照（若提供代理商社保）等相关证明材料扫描件，并加盖申请人单位公章。</w:t>
            </w:r>
          </w:p>
          <w:p w14:paraId="6EEFA896">
            <w:pPr>
              <w:pStyle w:val="33"/>
              <w:widowControl w:val="0"/>
              <w:numPr>
                <w:ilvl w:val="0"/>
                <w:numId w:val="0"/>
              </w:numPr>
              <w:jc w:val="both"/>
              <w:rPr>
                <w:rFonts w:hint="eastAsia" w:ascii="宋体" w:hAnsi="宋体" w:eastAsia="宋体" w:cs="宋体"/>
                <w:kern w:val="0"/>
                <w:sz w:val="21"/>
                <w:szCs w:val="21"/>
                <w:lang w:val="en-US" w:eastAsia="zh-CN" w:bidi="ar-SA"/>
              </w:rPr>
            </w:pPr>
            <w:r>
              <w:rPr>
                <w:rFonts w:ascii="宋体" w:hAnsi="宋体" w:eastAsia="宋体" w:cs="宋体"/>
                <w:sz w:val="22"/>
                <w:szCs w:val="22"/>
                <w:u w:val="none" w:color="auto"/>
                <w:lang w:val="en-US" w:eastAsia="zh-CN" w:bidi="ar-SA"/>
              </w:rPr>
              <w:t>2.联合体申请：提供联合体成员单位（不含联合体牵头人）或其分公司人员，需提供身份证、社保缴费证明、分公司营业执照（若提供分公司社保）等相关证明材料扫描件，并加盖申请人单位公章。</w:t>
            </w:r>
          </w:p>
        </w:tc>
        <w:tc>
          <w:tcPr>
            <w:tcW w:w="651" w:type="pct"/>
            <w:tcBorders>
              <w:top w:val="nil"/>
              <w:left w:val="nil"/>
              <w:bottom w:val="single" w:color="auto" w:sz="4" w:space="0"/>
              <w:right w:val="single" w:color="auto" w:sz="4" w:space="0"/>
            </w:tcBorders>
            <w:noWrap w:val="0"/>
            <w:vAlign w:val="center"/>
          </w:tcPr>
          <w:p w14:paraId="64F057E1">
            <w:pPr>
              <w:pStyle w:val="28"/>
              <w:widowControl/>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10.0</w:t>
            </w:r>
          </w:p>
        </w:tc>
        <w:tc>
          <w:tcPr>
            <w:tcW w:w="650" w:type="pct"/>
            <w:tcBorders>
              <w:top w:val="nil"/>
              <w:left w:val="nil"/>
              <w:bottom w:val="single" w:color="auto" w:sz="4" w:space="0"/>
              <w:right w:val="single" w:color="auto" w:sz="4" w:space="0"/>
            </w:tcBorders>
            <w:noWrap w:val="0"/>
            <w:vAlign w:val="center"/>
          </w:tcPr>
          <w:p w14:paraId="3D856A4A">
            <w:pPr>
              <w:pStyle w:val="28"/>
              <w:widowControl/>
              <w:jc w:val="right"/>
              <w:rPr>
                <w:rFonts w:hint="eastAsia" w:ascii="宋体" w:hAnsi="宋体" w:eastAsia="宋体" w:cs="宋体"/>
                <w:kern w:val="0"/>
                <w:sz w:val="21"/>
                <w:szCs w:val="21"/>
                <w:lang w:val="en-US" w:eastAsia="zh-CN" w:bidi="ar-SA"/>
              </w:rPr>
            </w:pPr>
          </w:p>
        </w:tc>
        <w:tc>
          <w:tcPr>
            <w:tcW w:w="648" w:type="pct"/>
            <w:tcBorders>
              <w:top w:val="nil"/>
              <w:left w:val="nil"/>
              <w:bottom w:val="single" w:color="auto" w:sz="4" w:space="0"/>
              <w:right w:val="single" w:color="auto" w:sz="4" w:space="0"/>
            </w:tcBorders>
            <w:noWrap w:val="0"/>
            <w:vAlign w:val="center"/>
          </w:tcPr>
          <w:p w14:paraId="7BD41D51">
            <w:pPr>
              <w:pStyle w:val="28"/>
              <w:widowControl/>
              <w:jc w:val="right"/>
              <w:rPr>
                <w:rFonts w:hint="eastAsia" w:ascii="宋体" w:hAnsi="宋体" w:eastAsia="宋体" w:cs="宋体"/>
                <w:kern w:val="0"/>
                <w:sz w:val="21"/>
                <w:szCs w:val="21"/>
                <w:lang w:val="en-US" w:eastAsia="zh-CN" w:bidi="ar-SA"/>
              </w:rPr>
            </w:pPr>
          </w:p>
        </w:tc>
      </w:tr>
      <w:tr w14:paraId="30267F55">
        <w:tblPrEx>
          <w:tblCellMar>
            <w:top w:w="0" w:type="dxa"/>
            <w:left w:w="108" w:type="dxa"/>
            <w:bottom w:w="0" w:type="dxa"/>
            <w:right w:w="108" w:type="dxa"/>
          </w:tblCellMar>
        </w:tblPrEx>
        <w:trPr>
          <w:trHeight w:val="276" w:hRule="atLeast"/>
        </w:trPr>
        <w:tc>
          <w:tcPr>
            <w:tcW w:w="3049" w:type="pct"/>
            <w:gridSpan w:val="3"/>
            <w:tcBorders>
              <w:top w:val="single" w:color="auto" w:sz="4" w:space="0"/>
              <w:left w:val="single" w:color="auto" w:sz="4" w:space="0"/>
              <w:bottom w:val="single" w:color="auto" w:sz="4" w:space="0"/>
              <w:right w:val="single" w:color="auto" w:sz="4" w:space="0"/>
            </w:tcBorders>
            <w:noWrap w:val="0"/>
            <w:vAlign w:val="center"/>
          </w:tcPr>
          <w:p w14:paraId="458E0D4B">
            <w:pPr>
              <w:pStyle w:val="28"/>
              <w:widowControl/>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本次资审满分</w:t>
            </w:r>
          </w:p>
        </w:tc>
        <w:tc>
          <w:tcPr>
            <w:tcW w:w="651" w:type="pct"/>
            <w:tcBorders>
              <w:top w:val="single" w:color="auto" w:sz="4" w:space="0"/>
              <w:left w:val="nil"/>
              <w:bottom w:val="single" w:color="auto" w:sz="4" w:space="0"/>
              <w:right w:val="single" w:color="auto" w:sz="4" w:space="0"/>
            </w:tcBorders>
            <w:noWrap w:val="0"/>
            <w:vAlign w:val="center"/>
          </w:tcPr>
          <w:p w14:paraId="27B3F66A">
            <w:pPr>
              <w:pStyle w:val="28"/>
              <w:widowControl/>
              <w:jc w:val="right"/>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100</w:t>
            </w:r>
          </w:p>
        </w:tc>
        <w:tc>
          <w:tcPr>
            <w:tcW w:w="650" w:type="pct"/>
            <w:tcBorders>
              <w:top w:val="single" w:color="auto" w:sz="4" w:space="0"/>
              <w:left w:val="nil"/>
              <w:bottom w:val="single" w:color="auto" w:sz="4" w:space="0"/>
              <w:right w:val="single" w:color="auto" w:sz="4" w:space="0"/>
            </w:tcBorders>
            <w:noWrap w:val="0"/>
            <w:vAlign w:val="center"/>
          </w:tcPr>
          <w:p w14:paraId="7522BB7F">
            <w:pPr>
              <w:pStyle w:val="28"/>
              <w:widowControl/>
              <w:jc w:val="right"/>
              <w:rPr>
                <w:rFonts w:hint="eastAsia" w:ascii="宋体" w:hAnsi="宋体" w:eastAsia="宋体" w:cs="宋体"/>
                <w:kern w:val="0"/>
                <w:sz w:val="21"/>
                <w:szCs w:val="21"/>
                <w:lang w:val="en-US" w:eastAsia="zh-CN" w:bidi="ar-SA"/>
              </w:rPr>
            </w:pPr>
          </w:p>
        </w:tc>
        <w:tc>
          <w:tcPr>
            <w:tcW w:w="648" w:type="pct"/>
            <w:tcBorders>
              <w:top w:val="single" w:color="auto" w:sz="4" w:space="0"/>
              <w:left w:val="nil"/>
              <w:bottom w:val="single" w:color="auto" w:sz="4" w:space="0"/>
              <w:right w:val="single" w:color="auto" w:sz="4" w:space="0"/>
            </w:tcBorders>
            <w:noWrap w:val="0"/>
            <w:vAlign w:val="center"/>
          </w:tcPr>
          <w:p w14:paraId="1C5F6237">
            <w:pPr>
              <w:pStyle w:val="28"/>
              <w:widowControl/>
              <w:jc w:val="right"/>
              <w:rPr>
                <w:rFonts w:hint="eastAsia" w:ascii="宋体" w:hAnsi="宋体" w:eastAsia="宋体" w:cs="宋体"/>
                <w:kern w:val="0"/>
                <w:sz w:val="21"/>
                <w:szCs w:val="21"/>
                <w:lang w:val="en-US" w:eastAsia="zh-CN" w:bidi="ar-SA"/>
              </w:rPr>
            </w:pPr>
          </w:p>
        </w:tc>
      </w:tr>
    </w:tbl>
    <w:p w14:paraId="6A79956E">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firstLine="640" w:firstLineChars="200"/>
        <w:textAlignment w:val="auto"/>
        <w:rPr>
          <w:rFonts w:hint="eastAsia" w:ascii="仿宋_GB2312" w:hAnsi="黑体" w:eastAsia="仿宋_GB2312" w:cs="Times New Roman"/>
          <w:kern w:val="0"/>
          <w:sz w:val="32"/>
          <w:szCs w:val="32"/>
          <w:highlight w:val="none"/>
          <w:lang w:val="en-US" w:eastAsia="zh-CN"/>
        </w:rPr>
      </w:pPr>
      <w:r>
        <w:rPr>
          <w:rFonts w:hint="eastAsia" w:ascii="仿宋_GB2312" w:hAnsi="黑体" w:eastAsia="仿宋_GB2312" w:cs="Times New Roman"/>
          <w:kern w:val="0"/>
          <w:sz w:val="32"/>
          <w:szCs w:val="32"/>
          <w:highlight w:val="none"/>
          <w:lang w:val="en-US" w:eastAsia="zh-CN"/>
        </w:rPr>
        <w:t>本项目资格预审文件涉及上述内容均作相应调整，其余内容不变。</w:t>
      </w:r>
      <w:bookmarkStart w:id="0" w:name="_GoBack"/>
      <w:bookmarkEnd w:id="0"/>
    </w:p>
    <w:p w14:paraId="6DDBB685">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firstLine="640" w:firstLineChars="200"/>
        <w:textAlignment w:val="auto"/>
        <w:rPr>
          <w:rFonts w:hint="default" w:ascii="仿宋_GB2312" w:hAnsi="黑体" w:eastAsia="仿宋_GB2312" w:cs="Times New Roman"/>
          <w:kern w:val="0"/>
          <w:sz w:val="32"/>
          <w:szCs w:val="32"/>
          <w:highlight w:val="none"/>
          <w:lang w:val="en-US" w:eastAsia="zh-CN"/>
        </w:rPr>
      </w:pPr>
    </w:p>
    <w:p w14:paraId="11E76C9D">
      <w:pPr>
        <w:pStyle w:val="2"/>
        <w:jc w:val="right"/>
        <w:rPr>
          <w:rFonts w:hint="default"/>
          <w:lang w:val="en-US" w:eastAsia="zh-CN"/>
        </w:rPr>
      </w:pPr>
      <w:r>
        <w:rPr>
          <w:rFonts w:hint="eastAsia" w:ascii="仿宋_GB2312" w:hAnsi="黑体" w:eastAsia="仿宋_GB2312" w:cs="Times New Roman"/>
          <w:kern w:val="0"/>
          <w:sz w:val="32"/>
          <w:szCs w:val="32"/>
          <w:highlight w:val="none"/>
          <w:lang w:val="en-US" w:eastAsia="zh-CN"/>
        </w:rPr>
        <w:t>成都轨道城市投资集团有限公司</w:t>
      </w:r>
    </w:p>
    <w:p w14:paraId="3AF30FA6">
      <w:pPr>
        <w:pStyle w:val="2"/>
        <w:jc w:val="right"/>
        <w:rPr>
          <w:rFonts w:hint="default"/>
          <w:lang w:val="en-US" w:eastAsia="zh-CN"/>
        </w:rPr>
      </w:pPr>
      <w:r>
        <w:rPr>
          <w:rFonts w:hint="eastAsia" w:ascii="仿宋_GB2312" w:hAnsi="黑体" w:eastAsia="仿宋_GB2312" w:cs="Times New Roman"/>
          <w:kern w:val="0"/>
          <w:sz w:val="32"/>
          <w:szCs w:val="32"/>
          <w:highlight w:val="none"/>
          <w:lang w:val="en-US" w:eastAsia="zh-CN"/>
        </w:rPr>
        <w:t>2025年10月29日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225E9"/>
    <w:rsid w:val="007672A8"/>
    <w:rsid w:val="015513E5"/>
    <w:rsid w:val="01704D7D"/>
    <w:rsid w:val="01865FDC"/>
    <w:rsid w:val="01B56F70"/>
    <w:rsid w:val="02F827CD"/>
    <w:rsid w:val="03405631"/>
    <w:rsid w:val="042275C5"/>
    <w:rsid w:val="054E2B96"/>
    <w:rsid w:val="078D1CAA"/>
    <w:rsid w:val="08A729DF"/>
    <w:rsid w:val="0BA20566"/>
    <w:rsid w:val="0BA805D5"/>
    <w:rsid w:val="0C7E6AE6"/>
    <w:rsid w:val="0CB63096"/>
    <w:rsid w:val="0D0A1F13"/>
    <w:rsid w:val="0DC238E1"/>
    <w:rsid w:val="0E562298"/>
    <w:rsid w:val="0F7E3360"/>
    <w:rsid w:val="108734CE"/>
    <w:rsid w:val="10A44964"/>
    <w:rsid w:val="10B16728"/>
    <w:rsid w:val="112A6D76"/>
    <w:rsid w:val="11561D6B"/>
    <w:rsid w:val="12713CBE"/>
    <w:rsid w:val="14A038D7"/>
    <w:rsid w:val="16F464D5"/>
    <w:rsid w:val="17027A24"/>
    <w:rsid w:val="181719AE"/>
    <w:rsid w:val="18AB63AB"/>
    <w:rsid w:val="1ABF6928"/>
    <w:rsid w:val="1B8F2E7F"/>
    <w:rsid w:val="1D8A1135"/>
    <w:rsid w:val="1E3B3967"/>
    <w:rsid w:val="1EA36A87"/>
    <w:rsid w:val="1F32308B"/>
    <w:rsid w:val="1FAF0CF7"/>
    <w:rsid w:val="20F01FD4"/>
    <w:rsid w:val="219873DF"/>
    <w:rsid w:val="21E1543E"/>
    <w:rsid w:val="2261479D"/>
    <w:rsid w:val="229430E8"/>
    <w:rsid w:val="22CC7DCC"/>
    <w:rsid w:val="22D071FC"/>
    <w:rsid w:val="23225D15"/>
    <w:rsid w:val="23865A0A"/>
    <w:rsid w:val="23DD15A6"/>
    <w:rsid w:val="24457E49"/>
    <w:rsid w:val="24F7513A"/>
    <w:rsid w:val="27013139"/>
    <w:rsid w:val="27A92375"/>
    <w:rsid w:val="28BF0F8C"/>
    <w:rsid w:val="29395775"/>
    <w:rsid w:val="2A355E5F"/>
    <w:rsid w:val="2B4F18E7"/>
    <w:rsid w:val="2B5E09DC"/>
    <w:rsid w:val="2C663791"/>
    <w:rsid w:val="2CB21480"/>
    <w:rsid w:val="2D393B37"/>
    <w:rsid w:val="2DDD4A00"/>
    <w:rsid w:val="2DE80723"/>
    <w:rsid w:val="2F7E4283"/>
    <w:rsid w:val="2F8E5CD7"/>
    <w:rsid w:val="30247366"/>
    <w:rsid w:val="30385600"/>
    <w:rsid w:val="303B246C"/>
    <w:rsid w:val="320E7FDB"/>
    <w:rsid w:val="33C9723B"/>
    <w:rsid w:val="34434D53"/>
    <w:rsid w:val="34476BAD"/>
    <w:rsid w:val="34846F01"/>
    <w:rsid w:val="34945CD8"/>
    <w:rsid w:val="35D51E99"/>
    <w:rsid w:val="37636C80"/>
    <w:rsid w:val="376A4DDF"/>
    <w:rsid w:val="38A0713B"/>
    <w:rsid w:val="38D4033D"/>
    <w:rsid w:val="396A4A26"/>
    <w:rsid w:val="398C1196"/>
    <w:rsid w:val="3A676319"/>
    <w:rsid w:val="3C6D641B"/>
    <w:rsid w:val="3D2A21F7"/>
    <w:rsid w:val="3DA07850"/>
    <w:rsid w:val="3E596203"/>
    <w:rsid w:val="408855AF"/>
    <w:rsid w:val="41120020"/>
    <w:rsid w:val="41CC6DB4"/>
    <w:rsid w:val="433A1C7A"/>
    <w:rsid w:val="44042B71"/>
    <w:rsid w:val="44666163"/>
    <w:rsid w:val="447F7DFB"/>
    <w:rsid w:val="44ED7743"/>
    <w:rsid w:val="44FE5C28"/>
    <w:rsid w:val="461C3F8C"/>
    <w:rsid w:val="46234404"/>
    <w:rsid w:val="480D0F35"/>
    <w:rsid w:val="48551914"/>
    <w:rsid w:val="48833487"/>
    <w:rsid w:val="48C23CF3"/>
    <w:rsid w:val="48D20877"/>
    <w:rsid w:val="49F345DF"/>
    <w:rsid w:val="4BE07B8E"/>
    <w:rsid w:val="4C27656A"/>
    <w:rsid w:val="4D001600"/>
    <w:rsid w:val="4D4B68F4"/>
    <w:rsid w:val="4D704CEC"/>
    <w:rsid w:val="4FBE72FA"/>
    <w:rsid w:val="4FEC27C1"/>
    <w:rsid w:val="517976C3"/>
    <w:rsid w:val="51AD66F2"/>
    <w:rsid w:val="52474E60"/>
    <w:rsid w:val="55527DED"/>
    <w:rsid w:val="558C7A28"/>
    <w:rsid w:val="56F3629C"/>
    <w:rsid w:val="570819B3"/>
    <w:rsid w:val="578F3B92"/>
    <w:rsid w:val="586C32AD"/>
    <w:rsid w:val="58A2203A"/>
    <w:rsid w:val="58DE1959"/>
    <w:rsid w:val="5AD374F3"/>
    <w:rsid w:val="5B695961"/>
    <w:rsid w:val="5B74082D"/>
    <w:rsid w:val="5BA65A39"/>
    <w:rsid w:val="5C1821BF"/>
    <w:rsid w:val="5D346563"/>
    <w:rsid w:val="5D7960C2"/>
    <w:rsid w:val="5D832653"/>
    <w:rsid w:val="5E294985"/>
    <w:rsid w:val="5F341978"/>
    <w:rsid w:val="5F892961"/>
    <w:rsid w:val="600937CF"/>
    <w:rsid w:val="60600175"/>
    <w:rsid w:val="6075433B"/>
    <w:rsid w:val="612475EC"/>
    <w:rsid w:val="61C711DD"/>
    <w:rsid w:val="624A3B5C"/>
    <w:rsid w:val="63BD74C5"/>
    <w:rsid w:val="64954520"/>
    <w:rsid w:val="64EB07D6"/>
    <w:rsid w:val="65FA6CD3"/>
    <w:rsid w:val="66B71673"/>
    <w:rsid w:val="678678A2"/>
    <w:rsid w:val="68714849"/>
    <w:rsid w:val="68A94428"/>
    <w:rsid w:val="6ADB0FA1"/>
    <w:rsid w:val="6B100E0E"/>
    <w:rsid w:val="6C0D038D"/>
    <w:rsid w:val="6C7A7FC7"/>
    <w:rsid w:val="6D440BC9"/>
    <w:rsid w:val="6DEC7941"/>
    <w:rsid w:val="6E076266"/>
    <w:rsid w:val="6EB57578"/>
    <w:rsid w:val="6F3123DC"/>
    <w:rsid w:val="6F7B2461"/>
    <w:rsid w:val="6FD65A8B"/>
    <w:rsid w:val="709A4B83"/>
    <w:rsid w:val="70B2124A"/>
    <w:rsid w:val="721368FB"/>
    <w:rsid w:val="726154CA"/>
    <w:rsid w:val="72BE3BC8"/>
    <w:rsid w:val="72CD399D"/>
    <w:rsid w:val="72D3736E"/>
    <w:rsid w:val="73C92074"/>
    <w:rsid w:val="74DD0860"/>
    <w:rsid w:val="75791E29"/>
    <w:rsid w:val="78BE3EE8"/>
    <w:rsid w:val="799B5827"/>
    <w:rsid w:val="7A9E0912"/>
    <w:rsid w:val="7CF30417"/>
    <w:rsid w:val="7E9830A9"/>
    <w:rsid w:val="7EE20042"/>
    <w:rsid w:val="7F326D7A"/>
    <w:rsid w:val="7F773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after="120"/>
    </w:pPr>
    <w:rPr>
      <w:lang w:val="zh-CN"/>
    </w:rPr>
  </w:style>
  <w:style w:type="paragraph" w:styleId="3">
    <w:name w:val="Body Text Indent"/>
    <w:basedOn w:val="1"/>
    <w:qFormat/>
    <w:uiPriority w:val="99"/>
    <w:pPr>
      <w:spacing w:line="480" w:lineRule="auto"/>
      <w:ind w:firstLine="570"/>
    </w:pPr>
  </w:style>
  <w:style w:type="paragraph" w:styleId="4">
    <w:name w:val="Normal (Web)"/>
    <w:basedOn w:val="1"/>
    <w:qFormat/>
    <w:uiPriority w:val="0"/>
    <w:pPr>
      <w:spacing w:before="0" w:beforeAutospacing="0" w:after="150" w:afterAutospacing="0"/>
      <w:ind w:left="0" w:right="0"/>
      <w:jc w:val="left"/>
    </w:pPr>
    <w:rPr>
      <w:kern w:val="0"/>
      <w:sz w:val="24"/>
      <w:lang w:val="en-US" w:eastAsia="zh-CN" w:bidi="ar"/>
    </w:rPr>
  </w:style>
  <w:style w:type="paragraph" w:styleId="5">
    <w:name w:val="Body Text First Indent 2"/>
    <w:basedOn w:val="3"/>
    <w:unhideWhenUsed/>
    <w:qFormat/>
    <w:uiPriority w:val="99"/>
    <w:pPr>
      <w:spacing w:after="120" w:line="240" w:lineRule="auto"/>
      <w:ind w:left="420" w:leftChars="200" w:firstLine="420" w:firstLineChars="200"/>
    </w:pPr>
  </w:style>
  <w:style w:type="table" w:styleId="7">
    <w:name w:val="Table Grid"/>
    <w:basedOn w:val="6"/>
    <w:qFormat/>
    <w:uiPriority w:val="0"/>
    <w:pPr>
      <w:widowControl w:val="0"/>
      <w:jc w:val="both"/>
    </w:pPr>
    <w:rPr>
      <w:rFonts w:ascii="Times New Roman" w:hAnsi="Times New Roman" w:eastAsia="宋体" w:cs="Times New Roman"/>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color w:val="000000"/>
      <w:u w:val="none"/>
    </w:rPr>
  </w:style>
  <w:style w:type="character" w:styleId="11">
    <w:name w:val="HTML Definition"/>
    <w:basedOn w:val="8"/>
    <w:qFormat/>
    <w:uiPriority w:val="0"/>
    <w:rPr>
      <w:i/>
    </w:rPr>
  </w:style>
  <w:style w:type="character" w:styleId="12">
    <w:name w:val="Hyperlink"/>
    <w:basedOn w:val="8"/>
    <w:qFormat/>
    <w:uiPriority w:val="0"/>
    <w:rPr>
      <w:color w:val="000000"/>
      <w:u w:val="none"/>
    </w:rPr>
  </w:style>
  <w:style w:type="character" w:styleId="13">
    <w:name w:val="HTML Code"/>
    <w:basedOn w:val="8"/>
    <w:qFormat/>
    <w:uiPriority w:val="0"/>
    <w:rPr>
      <w:rFonts w:ascii="Consolas" w:hAnsi="Consolas" w:eastAsia="Consolas" w:cs="Consolas"/>
      <w:color w:val="C7254E"/>
      <w:sz w:val="21"/>
      <w:szCs w:val="21"/>
      <w:shd w:val="clear" w:fill="F9F2F4"/>
    </w:rPr>
  </w:style>
  <w:style w:type="character" w:styleId="14">
    <w:name w:val="HTML Keyboard"/>
    <w:basedOn w:val="8"/>
    <w:qFormat/>
    <w:uiPriority w:val="0"/>
    <w:rPr>
      <w:rFonts w:hint="default" w:ascii="Consolas" w:hAnsi="Consolas" w:eastAsia="Consolas" w:cs="Consolas"/>
      <w:color w:val="FFFFFF"/>
      <w:sz w:val="21"/>
      <w:szCs w:val="21"/>
      <w:shd w:val="clear" w:fill="333333"/>
    </w:rPr>
  </w:style>
  <w:style w:type="character" w:styleId="15">
    <w:name w:val="HTML Sample"/>
    <w:basedOn w:val="8"/>
    <w:qFormat/>
    <w:uiPriority w:val="0"/>
    <w:rPr>
      <w:rFonts w:hint="default" w:ascii="Consolas" w:hAnsi="Consolas" w:eastAsia="Consolas" w:cs="Consolas"/>
      <w:sz w:val="21"/>
      <w:szCs w:val="21"/>
    </w:rPr>
  </w:style>
  <w:style w:type="character" w:customStyle="1" w:styleId="16">
    <w:name w:val="font01"/>
    <w:basedOn w:val="8"/>
    <w:qFormat/>
    <w:uiPriority w:val="0"/>
    <w:rPr>
      <w:rFonts w:hint="eastAsia" w:ascii="宋体" w:hAnsi="宋体" w:eastAsia="宋体" w:cs="宋体"/>
      <w:color w:val="FF0000"/>
      <w:sz w:val="16"/>
      <w:szCs w:val="16"/>
      <w:u w:val="none"/>
    </w:rPr>
  </w:style>
  <w:style w:type="character" w:customStyle="1" w:styleId="17">
    <w:name w:val="font21"/>
    <w:basedOn w:val="8"/>
    <w:qFormat/>
    <w:uiPriority w:val="0"/>
    <w:rPr>
      <w:rFonts w:hint="eastAsia" w:ascii="宋体" w:hAnsi="宋体" w:eastAsia="宋体" w:cs="宋体"/>
      <w:color w:val="000000"/>
      <w:sz w:val="16"/>
      <w:szCs w:val="16"/>
      <w:u w:val="none"/>
    </w:rPr>
  </w:style>
  <w:style w:type="character" w:customStyle="1" w:styleId="18">
    <w:name w:val="font11"/>
    <w:basedOn w:val="8"/>
    <w:qFormat/>
    <w:uiPriority w:val="0"/>
    <w:rPr>
      <w:rFonts w:hint="eastAsia" w:ascii="宋体" w:hAnsi="宋体" w:eastAsia="宋体" w:cs="宋体"/>
      <w:color w:val="000000"/>
      <w:sz w:val="16"/>
      <w:szCs w:val="16"/>
      <w:u w:val="none"/>
    </w:rPr>
  </w:style>
  <w:style w:type="character" w:customStyle="1" w:styleId="19">
    <w:name w:val="active11"/>
    <w:basedOn w:val="8"/>
    <w:qFormat/>
    <w:uiPriority w:val="0"/>
    <w:rPr>
      <w:color w:val="FFFFFF"/>
      <w:sz w:val="21"/>
      <w:szCs w:val="21"/>
      <w:shd w:val="clear" w:fill="337AB7"/>
    </w:rPr>
  </w:style>
  <w:style w:type="character" w:customStyle="1" w:styleId="20">
    <w:name w:val="hover"/>
    <w:basedOn w:val="8"/>
    <w:qFormat/>
    <w:uiPriority w:val="0"/>
    <w:rPr>
      <w:shd w:val="clear" w:fill="EEEEEE"/>
    </w:rPr>
  </w:style>
  <w:style w:type="character" w:customStyle="1" w:styleId="21">
    <w:name w:val="old"/>
    <w:basedOn w:val="8"/>
    <w:qFormat/>
    <w:uiPriority w:val="0"/>
    <w:rPr>
      <w:color w:val="999999"/>
    </w:rPr>
  </w:style>
  <w:style w:type="character" w:customStyle="1" w:styleId="22">
    <w:name w:val="hour_pm"/>
    <w:basedOn w:val="8"/>
    <w:qFormat/>
    <w:uiPriority w:val="0"/>
  </w:style>
  <w:style w:type="character" w:customStyle="1" w:styleId="23">
    <w:name w:val="hour_am"/>
    <w:basedOn w:val="8"/>
    <w:qFormat/>
    <w:uiPriority w:val="0"/>
  </w:style>
  <w:style w:type="character" w:customStyle="1" w:styleId="24">
    <w:name w:val="glyphicon"/>
    <w:basedOn w:val="8"/>
    <w:qFormat/>
    <w:uiPriority w:val="0"/>
  </w:style>
  <w:style w:type="character" w:customStyle="1" w:styleId="25">
    <w:name w:val="bsharetext"/>
    <w:basedOn w:val="8"/>
    <w:qFormat/>
    <w:uiPriority w:val="0"/>
  </w:style>
  <w:style w:type="paragraph" w:customStyle="1" w:styleId="26">
    <w:name w:val="_Style 24"/>
    <w:basedOn w:val="1"/>
    <w:next w:val="1"/>
    <w:qFormat/>
    <w:uiPriority w:val="0"/>
    <w:pPr>
      <w:pBdr>
        <w:bottom w:val="single" w:color="auto" w:sz="6" w:space="1"/>
      </w:pBdr>
      <w:jc w:val="center"/>
    </w:pPr>
    <w:rPr>
      <w:rFonts w:ascii="Arial" w:eastAsia="宋体"/>
      <w:vanish/>
      <w:sz w:val="16"/>
    </w:rPr>
  </w:style>
  <w:style w:type="paragraph" w:customStyle="1" w:styleId="27">
    <w:name w:val="_Style 25"/>
    <w:basedOn w:val="1"/>
    <w:next w:val="1"/>
    <w:qFormat/>
    <w:uiPriority w:val="0"/>
    <w:pPr>
      <w:pBdr>
        <w:top w:val="single" w:color="auto" w:sz="6" w:space="1"/>
      </w:pBdr>
      <w:jc w:val="center"/>
    </w:pPr>
    <w:rPr>
      <w:rFonts w:ascii="Arial" w:eastAsia="宋体"/>
      <w:vanish/>
      <w:sz w:val="16"/>
    </w:rPr>
  </w:style>
  <w:style w:type="paragraph" w:customStyle="1" w:styleId="28">
    <w:name w:val="Normal_3_0"/>
    <w:next w:val="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Body Text First Indent 2_0"/>
    <w:basedOn w:val="3"/>
    <w:next w:val="30"/>
    <w:unhideWhenUsed/>
    <w:qFormat/>
    <w:uiPriority w:val="99"/>
    <w:pPr>
      <w:ind w:firstLine="420" w:firstLineChars="200"/>
    </w:pPr>
    <w:rPr>
      <w:rFonts w:ascii="Times New Roman" w:hAnsi="Times New Roman" w:eastAsia="宋体" w:cs="Times New Roman"/>
      <w:szCs w:val="24"/>
    </w:rPr>
  </w:style>
  <w:style w:type="paragraph" w:customStyle="1" w:styleId="30">
    <w:name w:val="Normal_3_0_0"/>
    <w:next w:val="29"/>
    <w:qFormat/>
    <w:uiPriority w:val="0"/>
    <w:pPr>
      <w:widowControl w:val="0"/>
      <w:jc w:val="both"/>
    </w:pPr>
    <w:rPr>
      <w:rFonts w:ascii="等线" w:hAnsi="等线" w:eastAsia="等线" w:cs="Times New Roman"/>
      <w:kern w:val="2"/>
      <w:sz w:val="21"/>
      <w:szCs w:val="22"/>
      <w:lang w:val="en-US" w:eastAsia="zh-CN" w:bidi="ar-SA"/>
    </w:rPr>
  </w:style>
  <w:style w:type="paragraph" w:customStyle="1" w:styleId="31">
    <w:name w:val="Body Text_0_0"/>
    <w:basedOn w:val="1"/>
    <w:next w:val="28"/>
    <w:unhideWhenUsed/>
    <w:qFormat/>
    <w:uiPriority w:val="1"/>
    <w:pPr>
      <w:spacing w:after="120"/>
    </w:pPr>
    <w:rPr>
      <w:rFonts w:ascii="Times New Roman" w:hAnsi="Times New Roman" w:eastAsia="宋体" w:cs="Times New Roman"/>
      <w:szCs w:val="24"/>
      <w:lang w:val="zh-CN"/>
    </w:rPr>
  </w:style>
  <w:style w:type="paragraph" w:customStyle="1" w:styleId="32">
    <w:name w:val="Normal_2_0"/>
    <w:qFormat/>
    <w:uiPriority w:val="0"/>
    <w:pPr>
      <w:widowControl w:val="0"/>
      <w:jc w:val="both"/>
    </w:pPr>
    <w:rPr>
      <w:rFonts w:ascii="Calibri" w:hAnsi="Calibri" w:eastAsia="宋体" w:cs="Times New Roman"/>
      <w:sz w:val="21"/>
      <w:szCs w:val="22"/>
      <w:lang w:val="en-US" w:eastAsia="zh-CN" w:bidi="ar-SA"/>
    </w:rPr>
  </w:style>
  <w:style w:type="paragraph" w:customStyle="1" w:styleId="33">
    <w:name w:val="Normal_2"/>
    <w:qFormat/>
    <w:uiPriority w:val="0"/>
    <w:pPr>
      <w:widowControl w:val="0"/>
      <w:jc w:val="both"/>
    </w:pPr>
    <w:rPr>
      <w:rFonts w:ascii="Calibri"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2908</Words>
  <Characters>3210</Characters>
  <Lines>0</Lines>
  <Paragraphs>0</Paragraphs>
  <TotalTime>15</TotalTime>
  <ScaleCrop>false</ScaleCrop>
  <LinksUpToDate>false</LinksUpToDate>
  <CharactersWithSpaces>3213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2021-06-17T03:55:00Z</dcterms:created>
  <dc:creator>HP</dc:creator>
  <cp:lastModifiedBy>张建韶</cp:lastModifiedBy>
  <cp:lastPrinted>2025-10-28T02:57:09Z</cp:lastPrinted>
  <dcterms:modified xsi:type="dcterms:W3CDTF">2025-10-28T02:57:12Z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eyJoZGlkIjoiZTE0YjgyZDU3ZGJmODEzM2MzMGY3NTdlNmU1NjRkMjUiLCJ1c2VySWQiOiIxNjcwNDYzNjI5In0=</vt:lpwstr>
  </property>
  <property fmtid="{D5CDD505-2E9C-101B-9397-08002B2CF9AE}" pid="4" name="ICV">
    <vt:lpwstr>B361A1A6A9A64C73800503A138AEEF07_12</vt:lpwstr>
  </property>
</Properties>
</file>